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D4D9EF1">
      <w:pPr>
        <w:widowControl/>
        <w:shd w:val="clear" w:color="auto" w:fill="FFFFFF"/>
        <w:spacing w:line="520" w:lineRule="exact"/>
        <w:contextualSpacing/>
        <w:rPr>
          <w:rFonts w:hint="eastAsia" w:ascii="仿宋" w:hAnsi="仿宋" w:eastAsia="仿宋" w:cs="Segoe UI"/>
          <w:b/>
          <w:bCs/>
          <w:sz w:val="44"/>
          <w:szCs w:val="44"/>
        </w:rPr>
      </w:pPr>
      <w:r>
        <w:rPr>
          <w:rFonts w:ascii="仿宋" w:hAnsi="仿宋" w:eastAsia="仿宋" w:cs="Segoe UI"/>
          <w:b/>
          <w:bCs/>
          <w:sz w:val="32"/>
          <w:szCs w:val="32"/>
        </w:rPr>
        <w:t>附件</w:t>
      </w:r>
      <w:r>
        <w:rPr>
          <w:rFonts w:hint="eastAsia" w:ascii="仿宋" w:hAnsi="仿宋" w:eastAsia="仿宋" w:cs="Segoe UI"/>
          <w:b/>
          <w:bCs/>
          <w:sz w:val="32"/>
          <w:szCs w:val="32"/>
        </w:rPr>
        <w:t>三</w:t>
      </w:r>
      <w:r>
        <w:rPr>
          <w:rFonts w:ascii="仿宋" w:hAnsi="仿宋" w:eastAsia="仿宋" w:cs="Segoe UI"/>
          <w:b/>
          <w:bCs/>
          <w:sz w:val="32"/>
          <w:szCs w:val="32"/>
        </w:rPr>
        <w:t>：资格性审查表</w:t>
      </w:r>
    </w:p>
    <w:p w14:paraId="07598F9A">
      <w:pPr>
        <w:widowControl/>
        <w:shd w:val="clear" w:color="auto" w:fill="FFFFFF"/>
        <w:spacing w:line="520" w:lineRule="exact"/>
        <w:contextualSpacing/>
        <w:rPr>
          <w:rFonts w:hint="eastAsia" w:ascii="仿宋" w:hAnsi="仿宋" w:eastAsia="仿宋" w:cs="Segoe UI"/>
          <w:bCs/>
          <w:sz w:val="24"/>
          <w:szCs w:val="24"/>
        </w:rPr>
      </w:pPr>
      <w:r>
        <w:rPr>
          <w:rFonts w:ascii="仿宋" w:hAnsi="仿宋" w:eastAsia="仿宋" w:cs="Segoe UI"/>
          <w:bCs/>
          <w:color w:val="0F1115"/>
          <w:sz w:val="24"/>
          <w:szCs w:val="24"/>
          <w:shd w:val="clear" w:color="auto" w:fill="FFFFFF"/>
        </w:rPr>
        <w:t>项目名称：</w:t>
      </w:r>
      <w:r>
        <w:rPr>
          <w:rFonts w:hint="eastAsia" w:ascii="仿宋" w:hAnsi="仿宋" w:eastAsia="仿宋" w:cs="Segoe UI"/>
          <w:color w:val="0F1115"/>
          <w:sz w:val="24"/>
          <w:szCs w:val="24"/>
          <w:shd w:val="clear" w:color="auto" w:fill="FFFFFF"/>
        </w:rPr>
        <w:t>王府井院区非居民其他垃圾运输消纳服务项目</w:t>
      </w:r>
    </w:p>
    <w:p w14:paraId="7354E49D">
      <w:pPr>
        <w:pStyle w:val="6"/>
        <w:shd w:val="clear" w:color="auto" w:fill="FFFFFF"/>
        <w:spacing w:before="0" w:beforeAutospacing="0" w:after="0" w:afterAutospacing="0" w:line="520" w:lineRule="exact"/>
        <w:contextualSpacing/>
        <w:rPr>
          <w:rFonts w:hint="eastAsia" w:ascii="仿宋" w:hAnsi="仿宋" w:eastAsia="仿宋" w:cs="Segoe UI"/>
          <w:color w:val="0F1115"/>
        </w:rPr>
      </w:pPr>
      <w:r>
        <w:rPr>
          <w:rFonts w:ascii="仿宋" w:hAnsi="仿宋" w:eastAsia="仿宋" w:cs="Segoe UI"/>
          <w:bCs/>
          <w:color w:val="0F1115"/>
        </w:rPr>
        <w:t>评审原则：</w:t>
      </w:r>
      <w:r>
        <w:rPr>
          <w:rFonts w:ascii="Calibri" w:hAnsi="Calibri" w:eastAsia="仿宋" w:cs="Calibri"/>
          <w:color w:val="0F1115"/>
        </w:rPr>
        <w:t> </w:t>
      </w:r>
      <w:r>
        <w:rPr>
          <w:rFonts w:ascii="仿宋" w:hAnsi="仿宋" w:eastAsia="仿宋" w:cs="Segoe UI"/>
          <w:color w:val="0F1115"/>
        </w:rPr>
        <w:t>以下</w:t>
      </w:r>
      <w:r>
        <w:rPr>
          <w:rFonts w:hint="eastAsia" w:ascii="仿宋" w:hAnsi="仿宋" w:eastAsia="仿宋" w:cs="Segoe UI"/>
          <w:color w:val="0F1115"/>
        </w:rPr>
        <w:t>九</w:t>
      </w:r>
      <w:r>
        <w:rPr>
          <w:rFonts w:ascii="仿宋" w:hAnsi="仿宋" w:eastAsia="仿宋" w:cs="Segoe UI"/>
          <w:color w:val="0F1115"/>
        </w:rPr>
        <w:t>项审查中，任一参选人有任一项结论为“不通过”，则其资格性审查总体结论为“不通过”，不得进入后续评审。</w:t>
      </w:r>
    </w:p>
    <w:tbl>
      <w:tblPr>
        <w:tblStyle w:val="4"/>
        <w:tblpPr w:leftFromText="180" w:rightFromText="180" w:vertAnchor="text" w:horzAnchor="margin" w:tblpXSpec="center" w:tblpY="127"/>
        <w:tblW w:w="5833" w:type="pct"/>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848"/>
        <w:gridCol w:w="1698"/>
        <w:gridCol w:w="7396"/>
      </w:tblGrid>
      <w:tr w14:paraId="2C39E7E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357"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660D8DAF">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序号</w:t>
            </w:r>
          </w:p>
        </w:tc>
        <w:tc>
          <w:tcPr>
            <w:tcW w:w="1653" w:type="dxa"/>
            <w:tcBorders>
              <w:top w:val="single" w:color="000000" w:sz="4" w:space="0"/>
              <w:left w:val="single" w:color="000000" w:sz="4" w:space="0"/>
              <w:bottom w:val="single" w:color="000000" w:sz="4" w:space="0"/>
              <w:right w:val="single" w:color="000000" w:sz="4" w:space="0"/>
            </w:tcBorders>
            <w:vAlign w:val="center"/>
          </w:tcPr>
          <w:p w14:paraId="321FE9C2">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检查因素</w:t>
            </w:r>
          </w:p>
        </w:tc>
        <w:tc>
          <w:tcPr>
            <w:tcW w:w="7200" w:type="dxa"/>
            <w:tcBorders>
              <w:top w:val="single" w:color="000000" w:sz="4" w:space="0"/>
              <w:left w:val="single" w:color="000000" w:sz="4" w:space="0"/>
              <w:bottom w:val="single" w:color="000000" w:sz="4" w:space="0"/>
              <w:right w:val="single" w:color="000000" w:sz="4" w:space="0"/>
            </w:tcBorders>
            <w:vAlign w:val="center"/>
          </w:tcPr>
          <w:p w14:paraId="13140A65">
            <w:pPr>
              <w:tabs>
                <w:tab w:val="left" w:pos="1080"/>
              </w:tabs>
              <w:snapToGrid w:val="0"/>
              <w:jc w:val="center"/>
              <w:rPr>
                <w:rFonts w:hint="eastAsia" w:ascii="仿宋" w:hAnsi="仿宋" w:eastAsia="仿宋" w:cs="Times New Roman"/>
                <w:b/>
                <w:color w:val="000000"/>
                <w:sz w:val="24"/>
                <w:szCs w:val="24"/>
              </w:rPr>
            </w:pPr>
            <w:r>
              <w:rPr>
                <w:rFonts w:hint="eastAsia" w:ascii="仿宋" w:hAnsi="仿宋" w:eastAsia="仿宋" w:cs="Times New Roman"/>
                <w:b/>
                <w:color w:val="000000"/>
                <w:sz w:val="24"/>
                <w:szCs w:val="24"/>
              </w:rPr>
              <w:t>检查内容</w:t>
            </w:r>
          </w:p>
        </w:tc>
      </w:tr>
      <w:tr w14:paraId="78EB6C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9B6F8E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w:t>
            </w:r>
          </w:p>
        </w:tc>
        <w:tc>
          <w:tcPr>
            <w:tcW w:w="1653" w:type="dxa"/>
            <w:tcBorders>
              <w:top w:val="single" w:color="000000" w:sz="4" w:space="0"/>
              <w:left w:val="single" w:color="000000" w:sz="4" w:space="0"/>
              <w:bottom w:val="single" w:color="000000" w:sz="4" w:space="0"/>
              <w:right w:val="single" w:color="000000" w:sz="4" w:space="0"/>
            </w:tcBorders>
            <w:vAlign w:val="center"/>
          </w:tcPr>
          <w:p w14:paraId="4C7DFD5F">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营业执照等证明文件</w:t>
            </w:r>
          </w:p>
        </w:tc>
        <w:tc>
          <w:tcPr>
            <w:tcW w:w="7200" w:type="dxa"/>
            <w:tcBorders>
              <w:top w:val="single" w:color="000000" w:sz="4" w:space="0"/>
              <w:left w:val="single" w:color="000000" w:sz="4" w:space="0"/>
              <w:bottom w:val="single" w:color="000000" w:sz="4" w:space="0"/>
              <w:right w:val="single" w:color="000000" w:sz="4" w:space="0"/>
            </w:tcBorders>
            <w:vAlign w:val="center"/>
          </w:tcPr>
          <w:p w14:paraId="3C39143C">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供应商为企业（包括合伙企业）的，应提供有效的“营业执照”；</w:t>
            </w:r>
          </w:p>
          <w:p w14:paraId="2967403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供应商为事业单位的，应提供有效的“事业单位法人证书”；</w:t>
            </w:r>
          </w:p>
          <w:p w14:paraId="0C304B66">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供应商是非企业机构的，应提供有效的“执业许可证”、“登记证书”等证明文件；</w:t>
            </w:r>
          </w:p>
          <w:p w14:paraId="1A7636EF">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供应商是个体工商户的，应提供有效的“个体工商户营业执照”；</w:t>
            </w:r>
          </w:p>
          <w:p w14:paraId="5D1C82E2">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供应商是自然人的，应提供有效的自然人身份证明。</w:t>
            </w:r>
          </w:p>
          <w:p w14:paraId="3EC4C027">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分支机构参加响应的，应提供该分支机构或其所属法人/其他组织的相应证明文件；同时还应提供其所属法人/其他组织出具的授权其参与本项目的授权书（格式自拟，须加盖其所属法人/其他组织的公章）；对于银行、保险、石油石化、电力、电信等行业的分支机构，可以提供上述授权，也可以提供其所属法人/其他组织的有关文件或制度等能够证明授权其独立开展业务的证明材料。</w:t>
            </w:r>
          </w:p>
        </w:tc>
      </w:tr>
      <w:tr w14:paraId="484897B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41EF0D8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w:t>
            </w:r>
          </w:p>
        </w:tc>
        <w:tc>
          <w:tcPr>
            <w:tcW w:w="1653" w:type="dxa"/>
            <w:tcBorders>
              <w:top w:val="single" w:color="000000" w:sz="4" w:space="0"/>
              <w:left w:val="single" w:color="000000" w:sz="4" w:space="0"/>
              <w:bottom w:val="single" w:color="000000" w:sz="4" w:space="0"/>
              <w:right w:val="single" w:color="000000" w:sz="4" w:space="0"/>
            </w:tcBorders>
            <w:vAlign w:val="center"/>
          </w:tcPr>
          <w:p w14:paraId="2E87CBED">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供应商比选前承诺书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3581E41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提供了符合比选文件要求的《比选前承诺书》。</w:t>
            </w:r>
          </w:p>
        </w:tc>
      </w:tr>
      <w:tr w14:paraId="65736B5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02C503D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w:t>
            </w:r>
          </w:p>
        </w:tc>
        <w:tc>
          <w:tcPr>
            <w:tcW w:w="1653" w:type="dxa"/>
            <w:tcBorders>
              <w:top w:val="single" w:color="000000" w:sz="4" w:space="0"/>
              <w:left w:val="single" w:color="000000" w:sz="4" w:space="0"/>
              <w:bottom w:val="single" w:color="000000" w:sz="4" w:space="0"/>
              <w:right w:val="single" w:color="000000" w:sz="4" w:space="0"/>
            </w:tcBorders>
            <w:vAlign w:val="center"/>
          </w:tcPr>
          <w:p w14:paraId="33AAA26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供应商资格声明书</w:t>
            </w:r>
          </w:p>
        </w:tc>
        <w:tc>
          <w:tcPr>
            <w:tcW w:w="7200" w:type="dxa"/>
            <w:tcBorders>
              <w:top w:val="single" w:color="000000" w:sz="4" w:space="0"/>
              <w:left w:val="single" w:color="000000" w:sz="4" w:space="0"/>
              <w:bottom w:val="single" w:color="000000" w:sz="4" w:space="0"/>
              <w:right w:val="single" w:color="000000" w:sz="4" w:space="0"/>
            </w:tcBorders>
            <w:vAlign w:val="center"/>
          </w:tcPr>
          <w:p w14:paraId="5070F771">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提供了符合比选文件要求的《供应商资格声明书》。</w:t>
            </w:r>
          </w:p>
        </w:tc>
      </w:tr>
      <w:tr w14:paraId="7EB0735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FE65E53">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4</w:t>
            </w:r>
          </w:p>
        </w:tc>
        <w:tc>
          <w:tcPr>
            <w:tcW w:w="1653" w:type="dxa"/>
            <w:tcBorders>
              <w:top w:val="single" w:color="000000" w:sz="4" w:space="0"/>
              <w:left w:val="single" w:color="000000" w:sz="4" w:space="0"/>
              <w:bottom w:val="single" w:color="000000" w:sz="4" w:space="0"/>
              <w:right w:val="single" w:color="000000" w:sz="4" w:space="0"/>
            </w:tcBorders>
            <w:vAlign w:val="center"/>
          </w:tcPr>
          <w:p w14:paraId="5B6EC2F4">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信誉要求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4FB9F7EE">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1）参加本次比选活动前三年内，在经营活动中无重大违法记录（须提供加盖公章的书面声明）。</w:t>
            </w:r>
          </w:p>
          <w:p w14:paraId="4674BFEA">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2）在“信用中国”网站（www.creditchina.gov.cn）未被列入失信被执行人、重大税收违法案件当事人名单及政府采购严重违法失信行为记录名单（须提供公告发布日后查询结果的网页截图并加盖公章）。</w:t>
            </w:r>
          </w:p>
          <w:p w14:paraId="145DE743">
            <w:pPr>
              <w:tabs>
                <w:tab w:val="left" w:pos="1080"/>
              </w:tabs>
              <w:snapToGrid w:val="0"/>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3）在“中国政府采购网”（www.ccgp.gov.cn）未被列入政府采购严重违法失信行为记录名单（处罚期限尚未届满的）（须提供公告发布日后查询结果的网页截图并加盖公章）。</w:t>
            </w:r>
          </w:p>
        </w:tc>
      </w:tr>
      <w:tr w14:paraId="672673F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6C55BA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5</w:t>
            </w:r>
          </w:p>
        </w:tc>
        <w:tc>
          <w:tcPr>
            <w:tcW w:w="1653" w:type="dxa"/>
            <w:tcBorders>
              <w:top w:val="single" w:color="000000" w:sz="4" w:space="0"/>
              <w:left w:val="single" w:color="000000" w:sz="4" w:space="0"/>
              <w:bottom w:val="single" w:color="000000" w:sz="4" w:space="0"/>
              <w:right w:val="single" w:color="000000" w:sz="4" w:space="0"/>
            </w:tcBorders>
            <w:vAlign w:val="center"/>
          </w:tcPr>
          <w:p w14:paraId="539965D6">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法定资质</w:t>
            </w:r>
          </w:p>
        </w:tc>
        <w:tc>
          <w:tcPr>
            <w:tcW w:w="7200" w:type="dxa"/>
            <w:tcBorders>
              <w:top w:val="single" w:color="000000" w:sz="4" w:space="0"/>
              <w:left w:val="single" w:color="000000" w:sz="4" w:space="0"/>
              <w:bottom w:val="single" w:color="000000" w:sz="4" w:space="0"/>
              <w:right w:val="single" w:color="000000" w:sz="4" w:space="0"/>
            </w:tcBorders>
            <w:vAlign w:val="center"/>
          </w:tcPr>
          <w:p w14:paraId="4D8940E0">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 xml:space="preserve">参选人须具备有效的《危险废物经营许可证》或《危险废物收集许可证》、《道路运输经营许可证》或《道路危险货物运输许可证》或北京市东城区城市管理部门核发的、许可范围包含垃圾运输的同类有效资质文件，且许可状态正常。 </w:t>
            </w:r>
          </w:p>
        </w:tc>
      </w:tr>
      <w:tr w14:paraId="54E252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2A62BDE7">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6</w:t>
            </w:r>
          </w:p>
        </w:tc>
        <w:tc>
          <w:tcPr>
            <w:tcW w:w="1653" w:type="dxa"/>
            <w:tcBorders>
              <w:top w:val="single" w:color="000000" w:sz="4" w:space="0"/>
              <w:left w:val="single" w:color="000000" w:sz="4" w:space="0"/>
              <w:bottom w:val="single" w:color="000000" w:sz="4" w:space="0"/>
              <w:right w:val="single" w:color="000000" w:sz="4" w:space="0"/>
            </w:tcBorders>
            <w:vAlign w:val="center"/>
          </w:tcPr>
          <w:p w14:paraId="3ED7241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业绩要求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5997D04A">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自202</w:t>
            </w:r>
            <w:r>
              <w:rPr>
                <w:rFonts w:hint="eastAsia" w:ascii="仿宋" w:hAnsi="仿宋" w:eastAsia="仿宋" w:cs="Times New Roman"/>
                <w:color w:val="000000"/>
                <w:sz w:val="24"/>
                <w:szCs w:val="24"/>
                <w:lang w:val="en-US" w:eastAsia="zh-CN"/>
              </w:rPr>
              <w:t>3</w:t>
            </w:r>
            <w:r>
              <w:rPr>
                <w:rFonts w:hint="eastAsia" w:ascii="仿宋" w:hAnsi="仿宋" w:eastAsia="仿宋" w:cs="Times New Roman"/>
                <w:color w:val="000000"/>
                <w:sz w:val="24"/>
                <w:szCs w:val="24"/>
              </w:rPr>
              <w:t>年1月1日起至参选截止日），至少具有2项为医疗机构、大型公共机构或商业楼宇提供生活垃圾清运服务的有效合同业绩（须提供合同关键页复印件及至少一张对应的发票复印件）。</w:t>
            </w:r>
          </w:p>
        </w:tc>
      </w:tr>
      <w:tr w14:paraId="06A2A3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A6354AB">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7</w:t>
            </w:r>
          </w:p>
        </w:tc>
        <w:tc>
          <w:tcPr>
            <w:tcW w:w="1653" w:type="dxa"/>
            <w:tcBorders>
              <w:top w:val="single" w:color="000000" w:sz="4" w:space="0"/>
              <w:left w:val="single" w:color="000000" w:sz="4" w:space="0"/>
              <w:bottom w:val="single" w:color="000000" w:sz="4" w:space="0"/>
              <w:right w:val="single" w:color="000000" w:sz="4" w:space="0"/>
            </w:tcBorders>
            <w:vAlign w:val="center"/>
          </w:tcPr>
          <w:p w14:paraId="1524406E">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人员要求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22CCC241">
            <w:pPr>
              <w:tabs>
                <w:tab w:val="left" w:pos="1080"/>
              </w:tabs>
              <w:snapToGrid w:val="0"/>
              <w:jc w:val="left"/>
              <w:rPr>
                <w:rFonts w:hint="eastAsia" w:ascii="仿宋" w:hAnsi="仿宋" w:eastAsia="仿宋" w:cs="Times New Roman"/>
                <w:color w:val="000000"/>
                <w:sz w:val="24"/>
                <w:szCs w:val="24"/>
              </w:rPr>
            </w:pPr>
            <w:r>
              <w:rPr>
                <w:rFonts w:hint="eastAsia"/>
                <w:lang w:val="en-US" w:eastAsia="zh-CN"/>
              </w:rPr>
              <w:t>无</w:t>
            </w:r>
            <w:r>
              <w:rPr>
                <w:rFonts w:hint="eastAsia" w:ascii="仿宋" w:hAnsi="仿宋" w:eastAsia="仿宋" w:cs="Times New Roman"/>
                <w:color w:val="000000"/>
                <w:sz w:val="24"/>
                <w:szCs w:val="24"/>
              </w:rPr>
              <w:t>。</w:t>
            </w:r>
          </w:p>
        </w:tc>
      </w:tr>
      <w:tr w14:paraId="7EDADF6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936"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5B18EC3C">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8</w:t>
            </w:r>
          </w:p>
        </w:tc>
        <w:tc>
          <w:tcPr>
            <w:tcW w:w="1653" w:type="dxa"/>
            <w:tcBorders>
              <w:top w:val="single" w:color="000000" w:sz="4" w:space="0"/>
              <w:left w:val="single" w:color="000000" w:sz="4" w:space="0"/>
              <w:bottom w:val="single" w:color="000000" w:sz="4" w:space="0"/>
              <w:right w:val="single" w:color="000000" w:sz="4" w:space="0"/>
            </w:tcBorders>
            <w:vAlign w:val="center"/>
          </w:tcPr>
          <w:p w14:paraId="6D8B87D0">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本项目的其他特定资格要求</w:t>
            </w:r>
          </w:p>
        </w:tc>
        <w:tc>
          <w:tcPr>
            <w:tcW w:w="7200" w:type="dxa"/>
            <w:tcBorders>
              <w:top w:val="single" w:color="000000" w:sz="4" w:space="0"/>
              <w:left w:val="single" w:color="000000" w:sz="4" w:space="0"/>
              <w:bottom w:val="single" w:color="000000" w:sz="4" w:space="0"/>
              <w:right w:val="single" w:color="000000" w:sz="4" w:space="0"/>
            </w:tcBorders>
            <w:vAlign w:val="center"/>
          </w:tcPr>
          <w:p w14:paraId="346AEA0C">
            <w:pPr>
              <w:tabs>
                <w:tab w:val="left" w:pos="1080"/>
              </w:tabs>
              <w:snapToGrid w:val="0"/>
              <w:jc w:val="left"/>
              <w:rPr>
                <w:rFonts w:hint="default" w:ascii="仿宋" w:hAnsi="仿宋" w:eastAsia="仿宋" w:cs="Times New Roman"/>
                <w:color w:val="000000"/>
                <w:sz w:val="24"/>
                <w:szCs w:val="24"/>
                <w:lang w:val="en-US" w:eastAsia="zh-CN"/>
              </w:rPr>
            </w:pPr>
            <w:r>
              <w:rPr>
                <w:rFonts w:hint="eastAsia" w:ascii="仿宋" w:hAnsi="仿宋" w:eastAsia="仿宋" w:cs="Times New Roman"/>
                <w:color w:val="000000"/>
                <w:sz w:val="24"/>
                <w:szCs w:val="24"/>
              </w:rPr>
              <w:t>如有，详见二、投标人的资格要求，提供证明文件的电子件或电子证照。</w:t>
            </w:r>
          </w:p>
        </w:tc>
      </w:tr>
      <w:tr w14:paraId="00FB0B8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cantSplit/>
          <w:trHeight w:val="468" w:hRule="atLeast"/>
        </w:trPr>
        <w:tc>
          <w:tcPr>
            <w:tcW w:w="825" w:type="dxa"/>
            <w:tcBorders>
              <w:top w:val="single" w:color="000000" w:sz="4" w:space="0"/>
              <w:left w:val="single" w:color="000000" w:sz="4" w:space="0"/>
              <w:bottom w:val="single" w:color="000000" w:sz="4" w:space="0"/>
              <w:right w:val="single" w:color="000000" w:sz="4" w:space="0"/>
            </w:tcBorders>
            <w:vAlign w:val="center"/>
          </w:tcPr>
          <w:p w14:paraId="7D3D3DE8">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9</w:t>
            </w:r>
          </w:p>
        </w:tc>
        <w:tc>
          <w:tcPr>
            <w:tcW w:w="1653" w:type="dxa"/>
            <w:tcBorders>
              <w:top w:val="single" w:color="000000" w:sz="4" w:space="0"/>
              <w:left w:val="single" w:color="000000" w:sz="4" w:space="0"/>
              <w:bottom w:val="single" w:color="000000" w:sz="4" w:space="0"/>
              <w:right w:val="single" w:color="000000" w:sz="4" w:space="0"/>
            </w:tcBorders>
            <w:vAlign w:val="center"/>
          </w:tcPr>
          <w:p w14:paraId="58F7523A">
            <w:pPr>
              <w:tabs>
                <w:tab w:val="left" w:pos="1080"/>
              </w:tabs>
              <w:snapToGrid w:val="0"/>
              <w:jc w:val="center"/>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法律、行政法规规定的其他条件（如有）</w:t>
            </w:r>
          </w:p>
        </w:tc>
        <w:tc>
          <w:tcPr>
            <w:tcW w:w="7200" w:type="dxa"/>
            <w:tcBorders>
              <w:top w:val="single" w:color="000000" w:sz="4" w:space="0"/>
              <w:left w:val="single" w:color="000000" w:sz="4" w:space="0"/>
              <w:bottom w:val="single" w:color="000000" w:sz="4" w:space="0"/>
              <w:right w:val="single" w:color="000000" w:sz="4" w:space="0"/>
            </w:tcBorders>
            <w:vAlign w:val="center"/>
          </w:tcPr>
          <w:p w14:paraId="20A323B3">
            <w:pPr>
              <w:tabs>
                <w:tab w:val="left" w:pos="1080"/>
              </w:tabs>
              <w:snapToGrid w:val="0"/>
              <w:jc w:val="left"/>
              <w:rPr>
                <w:rFonts w:hint="eastAsia" w:ascii="仿宋" w:hAnsi="仿宋" w:eastAsia="仿宋" w:cs="Times New Roman"/>
                <w:color w:val="000000"/>
                <w:sz w:val="24"/>
                <w:szCs w:val="24"/>
              </w:rPr>
            </w:pPr>
            <w:r>
              <w:rPr>
                <w:rFonts w:hint="eastAsia" w:ascii="仿宋" w:hAnsi="仿宋" w:eastAsia="仿宋" w:cs="Times New Roman"/>
                <w:color w:val="000000"/>
                <w:sz w:val="24"/>
                <w:szCs w:val="24"/>
              </w:rPr>
              <w:t>法律、行政法规规定的其他条件</w:t>
            </w:r>
          </w:p>
        </w:tc>
      </w:tr>
    </w:tbl>
    <w:p w14:paraId="544174ED">
      <w:pPr>
        <w:widowControl/>
        <w:shd w:val="clear" w:color="auto" w:fill="FFFFFF"/>
        <w:spacing w:line="520" w:lineRule="exact"/>
        <w:contextualSpacing/>
        <w:rPr>
          <w:rFonts w:hint="eastAsia" w:ascii="仿宋" w:hAnsi="仿宋" w:eastAsia="仿宋" w:cs="Segoe UI"/>
          <w:b/>
          <w:bCs/>
          <w:sz w:val="32"/>
          <w:szCs w:val="32"/>
        </w:rPr>
      </w:pPr>
    </w:p>
    <w:p w14:paraId="1A9AC100">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资格性审查总体结论记录表</w:t>
      </w:r>
    </w:p>
    <w:p w14:paraId="10F9B654">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评审员填写指引：</w:t>
      </w:r>
    </w:p>
    <w:p w14:paraId="6CB99CF2">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请根据上表对每家参选人进行逐项审查，并在评审会议记录中载明各分项结论。</w:t>
      </w:r>
    </w:p>
    <w:p w14:paraId="740505D2">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完成逐项审查后，根据评审原则（有一项不通过则总体不通过），在本表记</w:t>
      </w:r>
      <w:bookmarkStart w:id="0" w:name="_GoBack"/>
      <w:bookmarkEnd w:id="0"/>
      <w:r>
        <w:rPr>
          <w:rFonts w:ascii="仿宋" w:hAnsi="仿宋" w:eastAsia="仿宋" w:cs="Segoe UI"/>
          <w:color w:val="0F1115"/>
          <w:kern w:val="0"/>
          <w:szCs w:val="21"/>
        </w:rPr>
        <w:t>录总体结论。</w:t>
      </w:r>
    </w:p>
    <w:p w14:paraId="64E776F2">
      <w:pPr>
        <w:widowControl/>
        <w:numPr>
          <w:ilvl w:val="0"/>
          <w:numId w:val="1"/>
        </w:numPr>
        <w:shd w:val="clear" w:color="auto" w:fill="FFFFFF"/>
        <w:tabs>
          <w:tab w:val="clear" w:pos="720"/>
        </w:tabs>
        <w:spacing w:line="520" w:lineRule="exact"/>
        <w:ind w:left="0" w:firstLine="0"/>
        <w:contextualSpacing/>
        <w:jc w:val="left"/>
        <w:rPr>
          <w:rFonts w:hint="eastAsia" w:ascii="仿宋" w:hAnsi="仿宋" w:eastAsia="仿宋" w:cs="Segoe UI"/>
          <w:color w:val="0F1115"/>
          <w:kern w:val="0"/>
          <w:szCs w:val="21"/>
        </w:rPr>
      </w:pPr>
      <w:r>
        <w:rPr>
          <w:rFonts w:ascii="仿宋" w:hAnsi="仿宋" w:eastAsia="仿宋" w:cs="Segoe UI"/>
          <w:color w:val="0F1115"/>
          <w:kern w:val="0"/>
          <w:szCs w:val="21"/>
        </w:rPr>
        <w:t>对结论为“不通过”的参选人，必须在“不通过原因说明”栏中，清晰、具体地注明所违反的审查项目序号及事实依据。</w:t>
      </w:r>
    </w:p>
    <w:tbl>
      <w:tblPr>
        <w:tblStyle w:val="4"/>
        <w:tblW w:w="9781" w:type="dxa"/>
        <w:tblInd w:w="-714" w:type="dxa"/>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Layout w:type="autofit"/>
        <w:tblCellMar>
          <w:top w:w="15" w:type="dxa"/>
          <w:left w:w="15" w:type="dxa"/>
          <w:bottom w:w="15" w:type="dxa"/>
          <w:right w:w="15" w:type="dxa"/>
        </w:tblCellMar>
      </w:tblPr>
      <w:tblGrid>
        <w:gridCol w:w="709"/>
        <w:gridCol w:w="3828"/>
        <w:gridCol w:w="1842"/>
        <w:gridCol w:w="3402"/>
      </w:tblGrid>
      <w:tr w14:paraId="60B16E4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rPr>
          <w:tblHeader/>
        </w:trPr>
        <w:tc>
          <w:tcPr>
            <w:tcW w:w="709" w:type="dxa"/>
            <w:tcMar>
              <w:top w:w="150" w:type="dxa"/>
              <w:left w:w="0" w:type="dxa"/>
              <w:bottom w:w="150" w:type="dxa"/>
              <w:right w:w="240" w:type="dxa"/>
            </w:tcMar>
            <w:vAlign w:val="center"/>
          </w:tcPr>
          <w:p w14:paraId="68280A54">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序号</w:t>
            </w:r>
          </w:p>
        </w:tc>
        <w:tc>
          <w:tcPr>
            <w:tcW w:w="3828" w:type="dxa"/>
            <w:tcMar>
              <w:top w:w="150" w:type="dxa"/>
              <w:left w:w="240" w:type="dxa"/>
              <w:bottom w:w="150" w:type="dxa"/>
              <w:right w:w="240" w:type="dxa"/>
            </w:tcMar>
            <w:vAlign w:val="center"/>
          </w:tcPr>
          <w:p w14:paraId="342D6EB2">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参选人名称</w:t>
            </w:r>
          </w:p>
        </w:tc>
        <w:tc>
          <w:tcPr>
            <w:tcW w:w="1842" w:type="dxa"/>
            <w:tcMar>
              <w:top w:w="150" w:type="dxa"/>
              <w:left w:w="240" w:type="dxa"/>
              <w:bottom w:w="150" w:type="dxa"/>
              <w:right w:w="240" w:type="dxa"/>
            </w:tcMar>
            <w:vAlign w:val="center"/>
          </w:tcPr>
          <w:p w14:paraId="70DAB097">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总体审查结论</w:t>
            </w:r>
          </w:p>
        </w:tc>
        <w:tc>
          <w:tcPr>
            <w:tcW w:w="3402" w:type="dxa"/>
            <w:tcMar>
              <w:top w:w="150" w:type="dxa"/>
              <w:left w:w="240" w:type="dxa"/>
              <w:bottom w:w="150" w:type="dxa"/>
              <w:right w:w="240" w:type="dxa"/>
            </w:tcMar>
            <w:vAlign w:val="center"/>
          </w:tcPr>
          <w:p w14:paraId="5069792A">
            <w:pPr>
              <w:widowControl/>
              <w:spacing w:line="520" w:lineRule="exact"/>
              <w:contextualSpacing/>
              <w:jc w:val="left"/>
              <w:rPr>
                <w:rFonts w:hint="eastAsia" w:ascii="仿宋" w:hAnsi="仿宋" w:eastAsia="仿宋" w:cs="宋体"/>
                <w:bCs/>
                <w:kern w:val="0"/>
                <w:szCs w:val="21"/>
              </w:rPr>
            </w:pPr>
            <w:r>
              <w:rPr>
                <w:rFonts w:ascii="仿宋" w:hAnsi="仿宋" w:eastAsia="仿宋" w:cs="宋体"/>
                <w:bCs/>
                <w:kern w:val="0"/>
                <w:szCs w:val="21"/>
              </w:rPr>
              <w:t>不通过原因说明 (仅当结论为“不通过”时填写)</w:t>
            </w:r>
          </w:p>
        </w:tc>
      </w:tr>
      <w:tr w14:paraId="04F5FC28">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04A3323">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1</w:t>
            </w:r>
          </w:p>
        </w:tc>
        <w:tc>
          <w:tcPr>
            <w:tcW w:w="3828" w:type="dxa"/>
            <w:tcMar>
              <w:top w:w="150" w:type="dxa"/>
              <w:left w:w="240" w:type="dxa"/>
              <w:bottom w:w="150" w:type="dxa"/>
              <w:right w:w="240" w:type="dxa"/>
            </w:tcMar>
            <w:vAlign w:val="center"/>
          </w:tcPr>
          <w:p w14:paraId="40FB44D7">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38C96905">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01D4947C">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55C3805A">
            <w:pPr>
              <w:widowControl/>
              <w:spacing w:line="520" w:lineRule="exact"/>
              <w:contextualSpacing/>
              <w:jc w:val="left"/>
              <w:rPr>
                <w:rFonts w:hint="eastAsia" w:ascii="仿宋" w:hAnsi="仿宋" w:eastAsia="仿宋" w:cs="宋体"/>
                <w:kern w:val="0"/>
                <w:szCs w:val="21"/>
              </w:rPr>
            </w:pPr>
          </w:p>
        </w:tc>
      </w:tr>
      <w:tr w14:paraId="0BB9CCBA">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06D8E7C1">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2</w:t>
            </w:r>
          </w:p>
        </w:tc>
        <w:tc>
          <w:tcPr>
            <w:tcW w:w="3828" w:type="dxa"/>
            <w:tcMar>
              <w:top w:w="150" w:type="dxa"/>
              <w:left w:w="240" w:type="dxa"/>
              <w:bottom w:w="150" w:type="dxa"/>
              <w:right w:w="240" w:type="dxa"/>
            </w:tcMar>
            <w:vAlign w:val="center"/>
          </w:tcPr>
          <w:p w14:paraId="5C182DE1">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609B015B">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571552FF">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144EC6F3">
            <w:pPr>
              <w:widowControl/>
              <w:spacing w:line="520" w:lineRule="exact"/>
              <w:contextualSpacing/>
              <w:jc w:val="left"/>
              <w:rPr>
                <w:rFonts w:hint="eastAsia" w:ascii="仿宋" w:hAnsi="仿宋" w:eastAsia="仿宋" w:cs="宋体"/>
                <w:kern w:val="0"/>
                <w:szCs w:val="21"/>
              </w:rPr>
            </w:pPr>
          </w:p>
        </w:tc>
      </w:tr>
      <w:tr w14:paraId="5D186DCB">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4DC0B2BF">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3</w:t>
            </w:r>
          </w:p>
        </w:tc>
        <w:tc>
          <w:tcPr>
            <w:tcW w:w="3828" w:type="dxa"/>
            <w:tcMar>
              <w:top w:w="150" w:type="dxa"/>
              <w:left w:w="240" w:type="dxa"/>
              <w:bottom w:w="150" w:type="dxa"/>
              <w:right w:w="240" w:type="dxa"/>
            </w:tcMar>
            <w:vAlign w:val="center"/>
          </w:tcPr>
          <w:p w14:paraId="0297AD2E">
            <w:pPr>
              <w:widowControl/>
              <w:spacing w:line="520" w:lineRule="exact"/>
              <w:contextualSpacing/>
              <w:jc w:val="left"/>
              <w:rPr>
                <w:rFonts w:hint="eastAsia" w:ascii="仿宋" w:hAnsi="仿宋" w:eastAsia="仿宋" w:cs="宋体"/>
                <w:kern w:val="0"/>
                <w:szCs w:val="21"/>
              </w:rPr>
            </w:pPr>
          </w:p>
        </w:tc>
        <w:tc>
          <w:tcPr>
            <w:tcW w:w="1842" w:type="dxa"/>
            <w:tcMar>
              <w:top w:w="150" w:type="dxa"/>
              <w:left w:w="240" w:type="dxa"/>
              <w:bottom w:w="150" w:type="dxa"/>
              <w:right w:w="240" w:type="dxa"/>
            </w:tcMar>
            <w:vAlign w:val="center"/>
          </w:tcPr>
          <w:p w14:paraId="4132FE8E">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通过 </w:t>
            </w:r>
          </w:p>
          <w:p w14:paraId="2A7FCF2A">
            <w:pPr>
              <w:widowControl/>
              <w:spacing w:line="520" w:lineRule="exact"/>
              <w:contextualSpacing/>
              <w:jc w:val="left"/>
              <w:rPr>
                <w:rFonts w:hint="eastAsia" w:ascii="仿宋" w:hAnsi="仿宋" w:eastAsia="仿宋" w:cs="宋体"/>
                <w:kern w:val="0"/>
                <w:szCs w:val="21"/>
              </w:rPr>
            </w:pPr>
            <w:r>
              <w:rPr>
                <w:rFonts w:ascii="Segoe UI Symbol" w:hAnsi="Segoe UI Symbol" w:eastAsia="仿宋" w:cs="Segoe UI Symbol"/>
                <w:kern w:val="0"/>
                <w:szCs w:val="21"/>
              </w:rPr>
              <w:t>☐</w:t>
            </w:r>
            <w:r>
              <w:rPr>
                <w:rFonts w:ascii="仿宋" w:hAnsi="仿宋" w:eastAsia="仿宋" w:cs="宋体"/>
                <w:kern w:val="0"/>
                <w:szCs w:val="21"/>
              </w:rPr>
              <w:t xml:space="preserve"> 不通过</w:t>
            </w:r>
          </w:p>
        </w:tc>
        <w:tc>
          <w:tcPr>
            <w:tcW w:w="3402" w:type="dxa"/>
            <w:tcMar>
              <w:top w:w="150" w:type="dxa"/>
              <w:left w:w="240" w:type="dxa"/>
              <w:bottom w:w="150" w:type="dxa"/>
              <w:right w:w="0" w:type="dxa"/>
            </w:tcMar>
            <w:vAlign w:val="center"/>
          </w:tcPr>
          <w:p w14:paraId="02D66FE4">
            <w:pPr>
              <w:widowControl/>
              <w:spacing w:line="520" w:lineRule="exact"/>
              <w:contextualSpacing/>
              <w:jc w:val="left"/>
              <w:rPr>
                <w:rFonts w:hint="eastAsia" w:ascii="仿宋" w:hAnsi="仿宋" w:eastAsia="仿宋" w:cs="宋体"/>
                <w:kern w:val="0"/>
                <w:szCs w:val="21"/>
              </w:rPr>
            </w:pPr>
          </w:p>
        </w:tc>
      </w:tr>
      <w:tr w14:paraId="1DB16C0D">
        <w:tblPrEx>
          <w:tblBorders>
            <w:top w:val="single" w:color="auto" w:sz="4" w:space="0"/>
            <w:left w:val="single" w:color="auto" w:sz="4" w:space="0"/>
            <w:bottom w:val="single" w:color="auto" w:sz="4" w:space="0"/>
            <w:right w:val="single" w:color="auto" w:sz="4" w:space="0"/>
            <w:insideH w:val="single" w:color="auto" w:sz="6" w:space="0"/>
            <w:insideV w:val="single" w:color="auto" w:sz="6" w:space="0"/>
          </w:tblBorders>
          <w:tblCellMar>
            <w:top w:w="15" w:type="dxa"/>
            <w:left w:w="15" w:type="dxa"/>
            <w:bottom w:w="15" w:type="dxa"/>
            <w:right w:w="15" w:type="dxa"/>
          </w:tblCellMar>
        </w:tblPrEx>
        <w:tc>
          <w:tcPr>
            <w:tcW w:w="709" w:type="dxa"/>
            <w:tcMar>
              <w:top w:w="150" w:type="dxa"/>
              <w:left w:w="0" w:type="dxa"/>
              <w:bottom w:w="150" w:type="dxa"/>
              <w:right w:w="240" w:type="dxa"/>
            </w:tcMar>
            <w:vAlign w:val="center"/>
          </w:tcPr>
          <w:p w14:paraId="281F43AE">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w:t>
            </w:r>
          </w:p>
        </w:tc>
        <w:tc>
          <w:tcPr>
            <w:tcW w:w="3828" w:type="dxa"/>
            <w:tcMar>
              <w:top w:w="150" w:type="dxa"/>
              <w:left w:w="240" w:type="dxa"/>
              <w:bottom w:w="150" w:type="dxa"/>
              <w:right w:w="240" w:type="dxa"/>
            </w:tcMar>
            <w:vAlign w:val="center"/>
          </w:tcPr>
          <w:p w14:paraId="12E3083A">
            <w:pPr>
              <w:widowControl/>
              <w:spacing w:line="520" w:lineRule="exact"/>
              <w:contextualSpacing/>
              <w:jc w:val="left"/>
              <w:rPr>
                <w:rFonts w:hint="eastAsia" w:ascii="仿宋" w:hAnsi="仿宋" w:eastAsia="仿宋" w:cs="宋体"/>
                <w:kern w:val="0"/>
                <w:szCs w:val="21"/>
              </w:rPr>
            </w:pPr>
            <w:r>
              <w:rPr>
                <w:rFonts w:ascii="仿宋" w:hAnsi="仿宋" w:eastAsia="仿宋" w:cs="宋体"/>
                <w:kern w:val="0"/>
                <w:szCs w:val="21"/>
              </w:rPr>
              <w:t>（可根据实际参选人数添加行）</w:t>
            </w:r>
          </w:p>
        </w:tc>
        <w:tc>
          <w:tcPr>
            <w:tcW w:w="1842" w:type="dxa"/>
            <w:tcMar>
              <w:top w:w="150" w:type="dxa"/>
              <w:left w:w="240" w:type="dxa"/>
              <w:bottom w:w="150" w:type="dxa"/>
              <w:right w:w="240" w:type="dxa"/>
            </w:tcMar>
            <w:vAlign w:val="center"/>
          </w:tcPr>
          <w:p w14:paraId="5D7A3C2E">
            <w:pPr>
              <w:widowControl/>
              <w:spacing w:line="520" w:lineRule="exact"/>
              <w:contextualSpacing/>
              <w:jc w:val="left"/>
              <w:rPr>
                <w:rFonts w:hint="eastAsia" w:ascii="仿宋" w:hAnsi="仿宋" w:eastAsia="仿宋" w:cs="宋体"/>
                <w:kern w:val="0"/>
                <w:szCs w:val="21"/>
              </w:rPr>
            </w:pPr>
          </w:p>
        </w:tc>
        <w:tc>
          <w:tcPr>
            <w:tcW w:w="3402" w:type="dxa"/>
            <w:tcMar>
              <w:top w:w="150" w:type="dxa"/>
              <w:left w:w="240" w:type="dxa"/>
              <w:bottom w:w="150" w:type="dxa"/>
              <w:right w:w="0" w:type="dxa"/>
            </w:tcMar>
            <w:vAlign w:val="center"/>
          </w:tcPr>
          <w:p w14:paraId="5D2698B8">
            <w:pPr>
              <w:widowControl/>
              <w:spacing w:line="520" w:lineRule="exact"/>
              <w:contextualSpacing/>
              <w:jc w:val="left"/>
              <w:rPr>
                <w:rFonts w:hint="eastAsia" w:ascii="仿宋" w:hAnsi="仿宋" w:eastAsia="仿宋" w:cs="Times New Roman"/>
                <w:kern w:val="0"/>
                <w:szCs w:val="21"/>
              </w:rPr>
            </w:pPr>
          </w:p>
        </w:tc>
      </w:tr>
    </w:tbl>
    <w:p w14:paraId="4CB7DFDB">
      <w:pPr>
        <w:widowControl/>
        <w:shd w:val="clear" w:color="auto" w:fill="FFFFFF"/>
        <w:spacing w:line="520" w:lineRule="exact"/>
        <w:contextualSpacing/>
        <w:jc w:val="left"/>
        <w:rPr>
          <w:rFonts w:hint="eastAsia" w:ascii="仿宋" w:hAnsi="仿宋" w:eastAsia="仿宋" w:cs="Segoe UI"/>
          <w:color w:val="0F1115"/>
          <w:kern w:val="0"/>
          <w:szCs w:val="21"/>
        </w:rPr>
      </w:pPr>
      <w:r>
        <w:rPr>
          <w:rFonts w:ascii="仿宋" w:hAnsi="仿宋" w:eastAsia="仿宋" w:cs="Segoe UI"/>
          <w:bCs/>
          <w:color w:val="0F1115"/>
          <w:kern w:val="0"/>
          <w:szCs w:val="21"/>
        </w:rPr>
        <w:t>评审委员会确认：</w:t>
      </w:r>
      <w:r>
        <w:rPr>
          <w:rFonts w:ascii="仿宋" w:hAnsi="仿宋" w:eastAsia="仿宋" w:cs="Segoe UI"/>
          <w:color w:val="0F1115"/>
          <w:kern w:val="0"/>
          <w:szCs w:val="21"/>
        </w:rPr>
        <w:br w:type="textWrapping"/>
      </w:r>
      <w:r>
        <w:rPr>
          <w:rFonts w:ascii="仿宋" w:hAnsi="仿宋" w:eastAsia="仿宋" w:cs="Segoe UI"/>
          <w:color w:val="0F1115"/>
          <w:kern w:val="0"/>
          <w:szCs w:val="21"/>
        </w:rPr>
        <w:t>我们确认，已根据比选文件规定的资格要求，对所有参选人进行了公平、公正的审查，并依据评审原则形成上述总体结论。</w:t>
      </w:r>
    </w:p>
    <w:p w14:paraId="40878EA2">
      <w:r>
        <w:rPr>
          <w:rFonts w:ascii="仿宋" w:hAnsi="仿宋" w:eastAsia="仿宋" w:cs="Segoe UI"/>
          <w:color w:val="0F1115"/>
          <w:kern w:val="0"/>
          <w:szCs w:val="21"/>
        </w:rPr>
        <w:t>评审员（签字）：__________ __________ __________</w:t>
      </w:r>
      <w:r>
        <w:rPr>
          <w:rFonts w:ascii="仿宋" w:hAnsi="仿宋" w:eastAsia="仿宋" w:cs="Segoe UI"/>
          <w:color w:val="0F1115"/>
          <w:kern w:val="0"/>
          <w:szCs w:val="21"/>
        </w:rPr>
        <w:br w:type="textWrapping"/>
      </w:r>
      <w:r>
        <w:rPr>
          <w:rFonts w:ascii="仿宋" w:hAnsi="仿宋" w:eastAsia="仿宋" w:cs="Segoe UI"/>
          <w:color w:val="0F1115"/>
          <w:kern w:val="0"/>
          <w:szCs w:val="21"/>
        </w:rPr>
        <w:t>日 期：__________年______月______日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Segoe UI">
    <w:panose1 w:val="020B0502040204020203"/>
    <w:charset w:val="00"/>
    <w:family w:val="swiss"/>
    <w:pitch w:val="default"/>
    <w:sig w:usb0="E4002EFF" w:usb1="C000E47F" w:usb2="00000009" w:usb3="00000000" w:csb0="200001FF" w:csb1="00000000"/>
  </w:font>
  <w:font w:name="Segoe UI Symbol">
    <w:panose1 w:val="020B0502040204020203"/>
    <w:charset w:val="00"/>
    <w:family w:val="swiss"/>
    <w:pitch w:val="default"/>
    <w:sig w:usb0="800001E3" w:usb1="1200FFEF" w:usb2="00040000" w:usb3="04000000" w:csb0="00000001" w:csb1="4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5F13343B"/>
    <w:multiLevelType w:val="multilevel"/>
    <w:tmpl w:val="5F13343B"/>
    <w:lvl w:ilvl="0" w:tentative="0">
      <w:start w:val="1"/>
      <w:numFmt w:val="decimal"/>
      <w:lvlText w:val="%1."/>
      <w:lvlJc w:val="left"/>
      <w:pPr>
        <w:tabs>
          <w:tab w:val="left" w:pos="720"/>
        </w:tabs>
        <w:ind w:left="720" w:hanging="360"/>
      </w:pPr>
    </w:lvl>
    <w:lvl w:ilvl="1" w:tentative="0">
      <w:start w:val="1"/>
      <w:numFmt w:val="decimal"/>
      <w:lvlText w:val="%2."/>
      <w:lvlJc w:val="left"/>
      <w:pPr>
        <w:tabs>
          <w:tab w:val="left" w:pos="1440"/>
        </w:tabs>
        <w:ind w:left="1440" w:hanging="360"/>
      </w:pPr>
    </w:lvl>
    <w:lvl w:ilvl="2" w:tentative="0">
      <w:start w:val="1"/>
      <w:numFmt w:val="decimal"/>
      <w:lvlText w:val="%3."/>
      <w:lvlJc w:val="left"/>
      <w:pPr>
        <w:tabs>
          <w:tab w:val="left" w:pos="2160"/>
        </w:tabs>
        <w:ind w:left="2160" w:hanging="360"/>
      </w:pPr>
    </w:lvl>
    <w:lvl w:ilvl="3" w:tentative="0">
      <w:start w:val="1"/>
      <w:numFmt w:val="decimal"/>
      <w:lvlText w:val="%4."/>
      <w:lvlJc w:val="left"/>
      <w:pPr>
        <w:tabs>
          <w:tab w:val="left" w:pos="2880"/>
        </w:tabs>
        <w:ind w:left="2880" w:hanging="360"/>
      </w:pPr>
    </w:lvl>
    <w:lvl w:ilvl="4" w:tentative="0">
      <w:start w:val="1"/>
      <w:numFmt w:val="decimal"/>
      <w:lvlText w:val="%5."/>
      <w:lvlJc w:val="left"/>
      <w:pPr>
        <w:tabs>
          <w:tab w:val="left" w:pos="3600"/>
        </w:tabs>
        <w:ind w:left="3600" w:hanging="360"/>
      </w:pPr>
    </w:lvl>
    <w:lvl w:ilvl="5" w:tentative="0">
      <w:start w:val="1"/>
      <w:numFmt w:val="decimal"/>
      <w:lvlText w:val="%6."/>
      <w:lvlJc w:val="left"/>
      <w:pPr>
        <w:tabs>
          <w:tab w:val="left" w:pos="4320"/>
        </w:tabs>
        <w:ind w:left="4320" w:hanging="360"/>
      </w:pPr>
    </w:lvl>
    <w:lvl w:ilvl="6" w:tentative="0">
      <w:start w:val="1"/>
      <w:numFmt w:val="decimal"/>
      <w:lvlText w:val="%7."/>
      <w:lvlJc w:val="left"/>
      <w:pPr>
        <w:tabs>
          <w:tab w:val="left" w:pos="5040"/>
        </w:tabs>
        <w:ind w:left="5040" w:hanging="360"/>
      </w:pPr>
    </w:lvl>
    <w:lvl w:ilvl="7" w:tentative="0">
      <w:start w:val="1"/>
      <w:numFmt w:val="decimal"/>
      <w:lvlText w:val="%8."/>
      <w:lvlJc w:val="left"/>
      <w:pPr>
        <w:tabs>
          <w:tab w:val="left" w:pos="5760"/>
        </w:tabs>
        <w:ind w:left="5760" w:hanging="360"/>
      </w:pPr>
    </w:lvl>
    <w:lvl w:ilvl="8" w:tentative="0">
      <w:start w:val="1"/>
      <w:numFmt w:val="decimal"/>
      <w:lvlText w:val="%9."/>
      <w:lvlJc w:val="left"/>
      <w:pPr>
        <w:tabs>
          <w:tab w:val="left"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50E928E9"/>
    <w:rsid w:val="50E928E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5">
    <w:name w:val="Default Paragraph Font"/>
    <w:semiHidden/>
    <w:uiPriority w:val="0"/>
  </w:style>
  <w:style w:type="table" w:default="1" w:styleId="4">
    <w:name w:val="Normal Table"/>
    <w:semiHidden/>
    <w:uiPriority w:val="0"/>
    <w:tblPr>
      <w:tblCellMar>
        <w:top w:w="0" w:type="dxa"/>
        <w:left w:w="108" w:type="dxa"/>
        <w:bottom w:w="0" w:type="dxa"/>
        <w:right w:w="108" w:type="dxa"/>
      </w:tblCellMar>
    </w:tblPr>
  </w:style>
  <w:style w:type="paragraph" w:styleId="2">
    <w:name w:val="Body Text"/>
    <w:basedOn w:val="1"/>
    <w:next w:val="3"/>
    <w:qFormat/>
    <w:uiPriority w:val="0"/>
    <w:pPr>
      <w:autoSpaceDE w:val="0"/>
      <w:autoSpaceDN w:val="0"/>
      <w:spacing w:line="360" w:lineRule="auto"/>
      <w:jc w:val="left"/>
    </w:pPr>
    <w:rPr>
      <w:rFonts w:ascii="Times New Roman" w:hAnsi="Times New Roman" w:eastAsia="宋体" w:cs="宋体"/>
      <w:kern w:val="0"/>
      <w:sz w:val="24"/>
      <w:szCs w:val="24"/>
    </w:rPr>
  </w:style>
  <w:style w:type="paragraph" w:customStyle="1" w:styleId="3">
    <w:name w:val="TOC 11"/>
    <w:next w:val="1"/>
    <w:unhideWhenUsed/>
    <w:qFormat/>
    <w:uiPriority w:val="0"/>
    <w:pPr>
      <w:wordWrap w:val="0"/>
      <w:spacing w:after="160" w:line="278" w:lineRule="auto"/>
      <w:jc w:val="both"/>
    </w:pPr>
    <w:rPr>
      <w:rFonts w:ascii="Times New Roman" w:hAnsi="Times New Roman" w:eastAsia="宋体" w:cs="Times New Roman"/>
      <w:sz w:val="21"/>
      <w:szCs w:val="24"/>
      <w:lang w:val="en-US" w:eastAsia="zh-CN" w:bidi="ar-SA"/>
    </w:rPr>
  </w:style>
  <w:style w:type="paragraph" w:customStyle="1" w:styleId="6">
    <w:name w:val="ds-markdown-paragraph"/>
    <w:basedOn w:val="1"/>
    <w:qFormat/>
    <w:uiPriority w:val="0"/>
    <w:pPr>
      <w:widowControl/>
      <w:spacing w:before="100" w:beforeAutospacing="1" w:after="100" w:afterAutospacing="1"/>
      <w:jc w:val="left"/>
    </w:pPr>
    <w:rPr>
      <w:rFonts w:ascii="宋体" w:hAnsi="宋体" w:eastAsia="宋体" w:cs="宋体"/>
      <w:kern w:val="0"/>
      <w:sz w:val="24"/>
      <w:szCs w:val="2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2026-11-03T03:44:00Z</dcterms:created>
  <dc:creator>Lyn</dc:creator>
  <cp:lastModifiedBy>Lyn</cp:lastModifiedBy>
  <dcterms:modified xsi:type="dcterms:W3CDTF">2026-11-03T03:46:43Z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B2578DC879044B2A9BAF5C598A822730_11</vt:lpwstr>
  </property>
  <property fmtid="{D5CDD505-2E9C-101B-9397-08002B2CF9AE}" pid="4" name="KSOTemplateDocerSaveRecord">
    <vt:lpwstr>eyJoZGlkIjoiMzI1NTc2YjM3YjBhNGRlYTk3YmY1YzQ4ZGRhMmI5ZWUiLCJ1c2VySWQiOiI0MzA1OTk4ODEifQ==</vt:lpwstr>
  </property>
</Properties>
</file>