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739C1">
      <w:pPr>
        <w:widowControl/>
        <w:shd w:val="clear" w:color="auto" w:fill="FFFFFF"/>
        <w:spacing w:line="520" w:lineRule="exact"/>
        <w:contextualSpacing/>
        <w:jc w:val="left"/>
        <w:rPr>
          <w:rFonts w:hint="eastAsia" w:ascii="仿宋" w:hAnsi="仿宋" w:eastAsia="仿宋"/>
          <w:b/>
          <w:color w:val="0F1115"/>
          <w:sz w:val="32"/>
          <w:szCs w:val="32"/>
          <w:highlight w:val="none"/>
        </w:rPr>
      </w:pPr>
      <w:r>
        <w:rPr>
          <w:rFonts w:hint="eastAsia" w:ascii="仿宋" w:hAnsi="仿宋" w:eastAsia="仿宋"/>
          <w:b/>
          <w:color w:val="0F1115"/>
          <w:sz w:val="32"/>
          <w:szCs w:val="32"/>
          <w:highlight w:val="none"/>
        </w:rPr>
        <w:t>附件五：</w:t>
      </w:r>
      <w:r>
        <w:rPr>
          <w:rFonts w:ascii="仿宋" w:hAnsi="仿宋" w:eastAsia="仿宋"/>
          <w:b/>
          <w:color w:val="0F1115"/>
          <w:sz w:val="32"/>
          <w:szCs w:val="32"/>
          <w:highlight w:val="none"/>
        </w:rPr>
        <w:t>综合评分表（总分</w:t>
      </w:r>
      <w:r>
        <w:rPr>
          <w:rFonts w:hint="eastAsia" w:ascii="仿宋" w:hAnsi="仿宋" w:eastAsia="仿宋"/>
          <w:b/>
          <w:color w:val="0F1115"/>
          <w:sz w:val="32"/>
          <w:szCs w:val="32"/>
          <w:highlight w:val="none"/>
        </w:rPr>
        <w:t>1</w:t>
      </w:r>
      <w:r>
        <w:rPr>
          <w:rFonts w:ascii="仿宋" w:hAnsi="仿宋" w:eastAsia="仿宋"/>
          <w:b/>
          <w:color w:val="0F1115"/>
          <w:sz w:val="32"/>
          <w:szCs w:val="32"/>
          <w:highlight w:val="none"/>
        </w:rPr>
        <w:t>00分）</w:t>
      </w:r>
    </w:p>
    <w:p w14:paraId="55A891C1">
      <w:pPr>
        <w:widowControl/>
        <w:shd w:val="clear" w:color="auto" w:fill="FFFFFF"/>
        <w:contextualSpacing/>
        <w:jc w:val="left"/>
        <w:rPr>
          <w:rFonts w:hint="eastAsia" w:ascii="仿宋" w:hAnsi="仿宋" w:eastAsia="仿宋"/>
          <w:color w:val="0F1115"/>
          <w:sz w:val="32"/>
          <w:szCs w:val="32"/>
          <w:highlight w:val="none"/>
        </w:rPr>
      </w:pPr>
      <w:r>
        <w:rPr>
          <w:rFonts w:ascii="仿宋" w:hAnsi="仿宋" w:eastAsia="仿宋"/>
          <w:color w:val="0F1115"/>
          <w:sz w:val="32"/>
          <w:szCs w:val="32"/>
          <w:highlight w:val="none"/>
        </w:rPr>
        <w:t>项目名称：</w:t>
      </w:r>
      <w:r>
        <w:rPr>
          <w:rFonts w:hint="eastAsia" w:ascii="仿宋" w:hAnsi="仿宋" w:eastAsia="仿宋"/>
          <w:color w:val="0F1115"/>
          <w:sz w:val="32"/>
          <w:szCs w:val="32"/>
          <w:highlight w:val="none"/>
        </w:rPr>
        <w:t>北京口腔医院北京口腔医院病案数字化技术服务项目</w:t>
      </w:r>
    </w:p>
    <w:p w14:paraId="0BAEB8D3">
      <w:pPr>
        <w:widowControl/>
        <w:shd w:val="clear" w:color="auto" w:fill="FFFFFF"/>
        <w:contextualSpacing/>
        <w:jc w:val="left"/>
        <w:rPr>
          <w:rFonts w:hint="eastAsia" w:ascii="黑体" w:hAnsi="黑体" w:eastAsia="黑体"/>
          <w:color w:val="000000" w:themeColor="text1"/>
          <w:sz w:val="36"/>
          <w:szCs w:val="36"/>
          <w:highlight w:val="none"/>
          <w:u w:val="single"/>
          <w14:textFill>
            <w14:solidFill>
              <w14:schemeClr w14:val="tx1"/>
            </w14:solidFill>
          </w14:textFill>
        </w:rPr>
      </w:pPr>
    </w:p>
    <w:tbl>
      <w:tblPr>
        <w:tblStyle w:val="2"/>
        <w:tblW w:w="9923"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1531"/>
        <w:gridCol w:w="1446"/>
        <w:gridCol w:w="4395"/>
        <w:gridCol w:w="1134"/>
        <w:gridCol w:w="1417"/>
      </w:tblGrid>
      <w:tr w14:paraId="6BFBEE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1531" w:type="dxa"/>
            <w:tcMar>
              <w:top w:w="150" w:type="dxa"/>
              <w:left w:w="0" w:type="dxa"/>
              <w:bottom w:w="150" w:type="dxa"/>
              <w:right w:w="240" w:type="dxa"/>
            </w:tcMar>
            <w:vAlign w:val="center"/>
          </w:tcPr>
          <w:p w14:paraId="2E73EF09">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评分部分</w:t>
            </w:r>
          </w:p>
        </w:tc>
        <w:tc>
          <w:tcPr>
            <w:tcW w:w="1446" w:type="dxa"/>
            <w:tcMar>
              <w:top w:w="150" w:type="dxa"/>
              <w:left w:w="240" w:type="dxa"/>
              <w:bottom w:w="150" w:type="dxa"/>
              <w:right w:w="240" w:type="dxa"/>
            </w:tcMar>
            <w:vAlign w:val="center"/>
          </w:tcPr>
          <w:p w14:paraId="67FBB24E">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评分因素</w:t>
            </w:r>
          </w:p>
        </w:tc>
        <w:tc>
          <w:tcPr>
            <w:tcW w:w="4395" w:type="dxa"/>
            <w:tcMar>
              <w:top w:w="150" w:type="dxa"/>
              <w:left w:w="240" w:type="dxa"/>
              <w:bottom w:w="150" w:type="dxa"/>
              <w:right w:w="240" w:type="dxa"/>
            </w:tcMar>
            <w:vAlign w:val="center"/>
          </w:tcPr>
          <w:p w14:paraId="040DCA0A">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评分标准</w:t>
            </w:r>
          </w:p>
        </w:tc>
        <w:tc>
          <w:tcPr>
            <w:tcW w:w="1134" w:type="dxa"/>
            <w:tcMar>
              <w:top w:w="150" w:type="dxa"/>
              <w:left w:w="240" w:type="dxa"/>
              <w:bottom w:w="150" w:type="dxa"/>
              <w:right w:w="240" w:type="dxa"/>
            </w:tcMar>
            <w:vAlign w:val="center"/>
          </w:tcPr>
          <w:p w14:paraId="0662A0DF">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分值</w:t>
            </w:r>
          </w:p>
        </w:tc>
        <w:tc>
          <w:tcPr>
            <w:tcW w:w="1417" w:type="dxa"/>
            <w:tcMar>
              <w:top w:w="150" w:type="dxa"/>
              <w:left w:w="240" w:type="dxa"/>
              <w:bottom w:w="150" w:type="dxa"/>
              <w:right w:w="240" w:type="dxa"/>
            </w:tcMar>
            <w:vAlign w:val="center"/>
          </w:tcPr>
          <w:p w14:paraId="1447F236">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分值属性</w:t>
            </w:r>
          </w:p>
        </w:tc>
      </w:tr>
      <w:tr w14:paraId="28CDAA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tcMar>
              <w:top w:w="150" w:type="dxa"/>
              <w:left w:w="0" w:type="dxa"/>
              <w:bottom w:w="150" w:type="dxa"/>
              <w:right w:w="240" w:type="dxa"/>
            </w:tcMar>
            <w:vAlign w:val="center"/>
          </w:tcPr>
          <w:p w14:paraId="2AB63122">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价格部分</w:t>
            </w:r>
          </w:p>
          <w:p w14:paraId="4A7B745E">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w:t>
            </w:r>
            <w:r>
              <w:rPr>
                <w:rFonts w:hint="eastAsia" w:ascii="仿宋" w:hAnsi="仿宋" w:eastAsia="仿宋" w:cs="宋体"/>
                <w:bCs/>
                <w:kern w:val="0"/>
                <w:szCs w:val="21"/>
                <w:highlight w:val="none"/>
              </w:rPr>
              <w:t>20</w:t>
            </w:r>
            <w:r>
              <w:rPr>
                <w:rFonts w:ascii="仿宋" w:hAnsi="仿宋" w:eastAsia="仿宋" w:cs="宋体"/>
                <w:bCs/>
                <w:kern w:val="0"/>
                <w:szCs w:val="21"/>
                <w:highlight w:val="none"/>
              </w:rPr>
              <w:t>分)</w:t>
            </w:r>
          </w:p>
        </w:tc>
        <w:tc>
          <w:tcPr>
            <w:tcW w:w="1446" w:type="dxa"/>
            <w:tcMar>
              <w:top w:w="150" w:type="dxa"/>
              <w:left w:w="240" w:type="dxa"/>
              <w:bottom w:w="150" w:type="dxa"/>
              <w:right w:w="240" w:type="dxa"/>
            </w:tcMar>
            <w:vAlign w:val="center"/>
          </w:tcPr>
          <w:p w14:paraId="19AACCF8">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参选报价</w:t>
            </w:r>
          </w:p>
        </w:tc>
        <w:tc>
          <w:tcPr>
            <w:tcW w:w="4395" w:type="dxa"/>
            <w:tcMar>
              <w:top w:w="150" w:type="dxa"/>
              <w:left w:w="240" w:type="dxa"/>
              <w:bottom w:w="150" w:type="dxa"/>
              <w:right w:w="240" w:type="dxa"/>
            </w:tcMar>
            <w:vAlign w:val="center"/>
          </w:tcPr>
          <w:p w14:paraId="793E61FD">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满足比选文件要求且报价最低的为基准价，该报价得分为满分。其他供应商的报价得分统一按照下列公式计算：</w:t>
            </w:r>
          </w:p>
          <w:p w14:paraId="77C5BD37">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报价得分＝（基准价/报价）×分值。</w:t>
            </w:r>
          </w:p>
        </w:tc>
        <w:tc>
          <w:tcPr>
            <w:tcW w:w="1134" w:type="dxa"/>
            <w:tcMar>
              <w:top w:w="150" w:type="dxa"/>
              <w:left w:w="240" w:type="dxa"/>
              <w:bottom w:w="150" w:type="dxa"/>
              <w:right w:w="240" w:type="dxa"/>
            </w:tcMar>
            <w:vAlign w:val="center"/>
          </w:tcPr>
          <w:p w14:paraId="472A10B8">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20</w:t>
            </w:r>
          </w:p>
        </w:tc>
        <w:tc>
          <w:tcPr>
            <w:tcW w:w="1417" w:type="dxa"/>
            <w:tcMar>
              <w:top w:w="150" w:type="dxa"/>
              <w:left w:w="240" w:type="dxa"/>
              <w:bottom w:w="150" w:type="dxa"/>
              <w:right w:w="0" w:type="dxa"/>
            </w:tcMar>
            <w:vAlign w:val="center"/>
          </w:tcPr>
          <w:p w14:paraId="43BCC34A">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客观</w:t>
            </w:r>
          </w:p>
        </w:tc>
      </w:tr>
      <w:tr w14:paraId="1EED66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vMerge w:val="restart"/>
            <w:tcMar>
              <w:top w:w="150" w:type="dxa"/>
              <w:left w:w="0" w:type="dxa"/>
              <w:bottom w:w="150" w:type="dxa"/>
              <w:right w:w="240" w:type="dxa"/>
            </w:tcMar>
            <w:vAlign w:val="center"/>
          </w:tcPr>
          <w:p w14:paraId="7BE45BC3">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商务部分</w:t>
            </w:r>
          </w:p>
          <w:p w14:paraId="512FB0AC">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w:t>
            </w:r>
            <w:r>
              <w:rPr>
                <w:rFonts w:hint="eastAsia" w:ascii="仿宋" w:hAnsi="仿宋" w:eastAsia="仿宋" w:cs="宋体"/>
                <w:bCs/>
                <w:kern w:val="0"/>
                <w:szCs w:val="21"/>
                <w:highlight w:val="none"/>
              </w:rPr>
              <w:t>25</w:t>
            </w:r>
            <w:r>
              <w:rPr>
                <w:rFonts w:ascii="仿宋" w:hAnsi="仿宋" w:eastAsia="仿宋" w:cs="宋体"/>
                <w:bCs/>
                <w:kern w:val="0"/>
                <w:szCs w:val="21"/>
                <w:highlight w:val="none"/>
              </w:rPr>
              <w:t>分)</w:t>
            </w:r>
          </w:p>
        </w:tc>
        <w:tc>
          <w:tcPr>
            <w:tcW w:w="1446" w:type="dxa"/>
            <w:tcMar>
              <w:top w:w="150" w:type="dxa"/>
              <w:left w:w="240" w:type="dxa"/>
              <w:bottom w:w="150" w:type="dxa"/>
              <w:right w:w="240" w:type="dxa"/>
            </w:tcMar>
            <w:vAlign w:val="center"/>
          </w:tcPr>
          <w:p w14:paraId="63A4AD7F">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同类项目业绩</w:t>
            </w:r>
          </w:p>
        </w:tc>
        <w:tc>
          <w:tcPr>
            <w:tcW w:w="4395" w:type="dxa"/>
            <w:tcMar>
              <w:top w:w="150" w:type="dxa"/>
              <w:left w:w="240" w:type="dxa"/>
              <w:bottom w:w="150" w:type="dxa"/>
              <w:right w:w="240" w:type="dxa"/>
            </w:tcMar>
            <w:vAlign w:val="center"/>
          </w:tcPr>
          <w:p w14:paraId="4520F5CE">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 xml:space="preserve">对供应商近三年内（2023 年 </w:t>
            </w:r>
            <w:r>
              <w:rPr>
                <w:rFonts w:hint="eastAsia" w:ascii="仿宋" w:hAnsi="仿宋" w:eastAsia="仿宋" w:cs="宋体"/>
                <w:bCs/>
                <w:kern w:val="0"/>
                <w:szCs w:val="21"/>
                <w:highlight w:val="none"/>
                <w:lang w:val="en-US" w:eastAsia="zh-CN"/>
              </w:rPr>
              <w:t>10</w:t>
            </w:r>
            <w:r>
              <w:rPr>
                <w:rFonts w:hint="eastAsia" w:ascii="仿宋" w:hAnsi="仿宋" w:eastAsia="仿宋" w:cs="宋体"/>
                <w:bCs/>
                <w:kern w:val="0"/>
                <w:szCs w:val="21"/>
                <w:highlight w:val="none"/>
              </w:rPr>
              <w:t xml:space="preserve"> 月 1 日至递交截止日）的病案数字化或档案数字化加工服务项目进行评审，须在参选文件中提供合同复印件并加盖公章，每提供 1 项合格业绩得 2 分，最高得 10 分。注：1）以合同签订时间为准，未注明签订时间的合同评标委员会有权不予认可；2）与同一采购人签订的不同服务时间的合同按 1 份计算；3）公立医院病案数字化项目业绩每项额外加 1 分（加分后总分不超过 10 分）。</w:t>
            </w:r>
          </w:p>
        </w:tc>
        <w:tc>
          <w:tcPr>
            <w:tcW w:w="1134" w:type="dxa"/>
            <w:tcMar>
              <w:top w:w="150" w:type="dxa"/>
              <w:left w:w="240" w:type="dxa"/>
              <w:bottom w:w="150" w:type="dxa"/>
              <w:right w:w="240" w:type="dxa"/>
            </w:tcMar>
            <w:vAlign w:val="center"/>
          </w:tcPr>
          <w:p w14:paraId="09ECF747">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10</w:t>
            </w:r>
          </w:p>
        </w:tc>
        <w:tc>
          <w:tcPr>
            <w:tcW w:w="1417" w:type="dxa"/>
            <w:tcMar>
              <w:top w:w="150" w:type="dxa"/>
              <w:left w:w="240" w:type="dxa"/>
              <w:bottom w:w="150" w:type="dxa"/>
              <w:right w:w="0" w:type="dxa"/>
            </w:tcMar>
            <w:vAlign w:val="center"/>
          </w:tcPr>
          <w:p w14:paraId="60BBA25E">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客观</w:t>
            </w:r>
          </w:p>
        </w:tc>
      </w:tr>
      <w:tr w14:paraId="3D8EB9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vMerge w:val="continue"/>
            <w:tcMar>
              <w:top w:w="150" w:type="dxa"/>
              <w:left w:w="0" w:type="dxa"/>
              <w:bottom w:w="150" w:type="dxa"/>
              <w:right w:w="240" w:type="dxa"/>
            </w:tcMar>
            <w:vAlign w:val="center"/>
          </w:tcPr>
          <w:p w14:paraId="2E70D568">
            <w:pPr>
              <w:widowControl/>
              <w:contextualSpacing/>
              <w:jc w:val="center"/>
              <w:rPr>
                <w:rFonts w:hint="eastAsia" w:ascii="仿宋" w:hAnsi="仿宋" w:eastAsia="仿宋" w:cs="宋体"/>
                <w:bCs/>
                <w:kern w:val="0"/>
                <w:szCs w:val="21"/>
                <w:highlight w:val="none"/>
              </w:rPr>
            </w:pPr>
          </w:p>
        </w:tc>
        <w:tc>
          <w:tcPr>
            <w:tcW w:w="1446" w:type="dxa"/>
            <w:tcMar>
              <w:top w:w="150" w:type="dxa"/>
              <w:left w:w="240" w:type="dxa"/>
              <w:bottom w:w="150" w:type="dxa"/>
              <w:right w:w="240" w:type="dxa"/>
            </w:tcMar>
            <w:vAlign w:val="center"/>
          </w:tcPr>
          <w:p w14:paraId="76AF8C2A">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项目团队配置</w:t>
            </w:r>
          </w:p>
        </w:tc>
        <w:tc>
          <w:tcPr>
            <w:tcW w:w="4395" w:type="dxa"/>
            <w:tcMar>
              <w:top w:w="150" w:type="dxa"/>
              <w:left w:w="240" w:type="dxa"/>
              <w:bottom w:w="150" w:type="dxa"/>
              <w:right w:w="240" w:type="dxa"/>
            </w:tcMar>
            <w:vAlign w:val="center"/>
          </w:tcPr>
          <w:p w14:paraId="3DEF4AFD">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根据拟派本项目的项目经理及团队成员的学历、证书、工作经验等进行综合评审：</w:t>
            </w:r>
          </w:p>
          <w:p w14:paraId="0AD3031F">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人员配备能够满足招标文件要求，构成比例合理、专业齐备，人员经验丰富得8-10分；</w:t>
            </w:r>
          </w:p>
          <w:p w14:paraId="7A06C997">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人员配备能够满足招标文件要求，构成比例较合理、专业较齐备，人员经验较丰富得5-7分；</w:t>
            </w:r>
          </w:p>
          <w:p w14:paraId="28E53332">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人员配备基本能够满足招标文件要求，构成比例合理性一般、专业齐备性一般，人员经验一般得2-4分；</w:t>
            </w:r>
          </w:p>
          <w:p w14:paraId="02AD5ADB">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人员配备基本不能够满足招标文件要求，构成比例合理性较差、专业不够齐备，人员经验欠丰富得1分；</w:t>
            </w:r>
          </w:p>
          <w:p w14:paraId="2565528A">
            <w:pPr>
              <w:widowControl/>
              <w:contextualSpacing/>
              <w:jc w:val="left"/>
              <w:rPr>
                <w:rFonts w:hint="eastAsia" w:ascii="仿宋" w:hAnsi="仿宋" w:eastAsia="仿宋" w:cs="宋体"/>
                <w:bCs/>
                <w:kern w:val="0"/>
                <w:szCs w:val="21"/>
                <w:highlight w:val="none"/>
              </w:rPr>
            </w:pPr>
            <w:r>
              <w:rPr>
                <w:rFonts w:hint="eastAsia" w:ascii="仿宋" w:hAnsi="仿宋" w:eastAsia="仿宋" w:cs="宋体"/>
                <w:bCs/>
                <w:kern w:val="0"/>
                <w:szCs w:val="21"/>
                <w:highlight w:val="none"/>
              </w:rPr>
              <w:t>未提供不得分。</w:t>
            </w:r>
          </w:p>
        </w:tc>
        <w:tc>
          <w:tcPr>
            <w:tcW w:w="1134" w:type="dxa"/>
            <w:tcMar>
              <w:top w:w="150" w:type="dxa"/>
              <w:left w:w="240" w:type="dxa"/>
              <w:bottom w:w="150" w:type="dxa"/>
              <w:right w:w="240" w:type="dxa"/>
            </w:tcMar>
            <w:vAlign w:val="center"/>
          </w:tcPr>
          <w:p w14:paraId="026D693F">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10</w:t>
            </w:r>
          </w:p>
        </w:tc>
        <w:tc>
          <w:tcPr>
            <w:tcW w:w="1417" w:type="dxa"/>
            <w:tcMar>
              <w:top w:w="150" w:type="dxa"/>
              <w:left w:w="240" w:type="dxa"/>
              <w:bottom w:w="150" w:type="dxa"/>
              <w:right w:w="0" w:type="dxa"/>
            </w:tcMar>
            <w:vAlign w:val="center"/>
          </w:tcPr>
          <w:p w14:paraId="13A30FE8">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主观</w:t>
            </w:r>
          </w:p>
        </w:tc>
      </w:tr>
      <w:tr w14:paraId="18B7D91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vMerge w:val="continue"/>
            <w:tcMar>
              <w:top w:w="150" w:type="dxa"/>
              <w:left w:w="0" w:type="dxa"/>
              <w:bottom w:w="150" w:type="dxa"/>
              <w:right w:w="240" w:type="dxa"/>
            </w:tcMar>
            <w:vAlign w:val="center"/>
          </w:tcPr>
          <w:p w14:paraId="5A648D66">
            <w:pPr>
              <w:widowControl/>
              <w:contextualSpacing/>
              <w:jc w:val="center"/>
              <w:rPr>
                <w:rFonts w:hint="eastAsia" w:ascii="仿宋" w:hAnsi="仿宋" w:eastAsia="仿宋" w:cs="宋体"/>
                <w:bCs/>
                <w:kern w:val="0"/>
                <w:szCs w:val="21"/>
                <w:highlight w:val="none"/>
              </w:rPr>
            </w:pPr>
          </w:p>
        </w:tc>
        <w:tc>
          <w:tcPr>
            <w:tcW w:w="1446" w:type="dxa"/>
            <w:tcMar>
              <w:top w:w="150" w:type="dxa"/>
              <w:left w:w="240" w:type="dxa"/>
              <w:bottom w:w="150" w:type="dxa"/>
              <w:right w:w="240" w:type="dxa"/>
            </w:tcMar>
            <w:vAlign w:val="center"/>
          </w:tcPr>
          <w:p w14:paraId="2C18D001">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szCs w:val="21"/>
                <w:highlight w:val="none"/>
              </w:rPr>
              <w:t>内容完整性和编制水平</w:t>
            </w:r>
          </w:p>
        </w:tc>
        <w:tc>
          <w:tcPr>
            <w:tcW w:w="4395" w:type="dxa"/>
            <w:tcMar>
              <w:top w:w="150" w:type="dxa"/>
              <w:left w:w="240" w:type="dxa"/>
              <w:bottom w:w="150" w:type="dxa"/>
              <w:right w:w="240" w:type="dxa"/>
            </w:tcMar>
            <w:vAlign w:val="center"/>
          </w:tcPr>
          <w:p w14:paraId="60A53EC1">
            <w:pPr>
              <w:widowControl/>
              <w:rPr>
                <w:rFonts w:hint="eastAsia" w:ascii="仿宋" w:hAnsi="仿宋" w:eastAsia="仿宋" w:cs="宋体"/>
                <w:bCs/>
                <w:szCs w:val="21"/>
                <w:highlight w:val="none"/>
              </w:rPr>
            </w:pPr>
            <w:r>
              <w:rPr>
                <w:rFonts w:hint="eastAsia" w:ascii="仿宋" w:hAnsi="仿宋" w:eastAsia="仿宋" w:cs="宋体"/>
                <w:bCs/>
                <w:szCs w:val="21"/>
                <w:highlight w:val="none"/>
              </w:rPr>
              <w:t>完全按比选要求包含：资格声明书、响应书、授权委托书、报价一览表、采购需求偏离表等全部章节，无缺项、无漏页、无关键资料缺失；有目录页码、排版格式清晰、文件装订规范得5分，否则不得分</w:t>
            </w:r>
          </w:p>
        </w:tc>
        <w:tc>
          <w:tcPr>
            <w:tcW w:w="1134" w:type="dxa"/>
            <w:tcMar>
              <w:top w:w="150" w:type="dxa"/>
              <w:left w:w="240" w:type="dxa"/>
              <w:bottom w:w="150" w:type="dxa"/>
              <w:right w:w="240" w:type="dxa"/>
            </w:tcMar>
            <w:vAlign w:val="center"/>
          </w:tcPr>
          <w:p w14:paraId="56F70209">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5</w:t>
            </w:r>
          </w:p>
        </w:tc>
        <w:tc>
          <w:tcPr>
            <w:tcW w:w="1417" w:type="dxa"/>
            <w:tcMar>
              <w:top w:w="150" w:type="dxa"/>
              <w:left w:w="240" w:type="dxa"/>
              <w:bottom w:w="150" w:type="dxa"/>
              <w:right w:w="0" w:type="dxa"/>
            </w:tcMar>
            <w:vAlign w:val="center"/>
          </w:tcPr>
          <w:p w14:paraId="1017CADC">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客观</w:t>
            </w:r>
          </w:p>
        </w:tc>
      </w:tr>
      <w:tr w14:paraId="5B9E1B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3813" w:hRule="atLeast"/>
        </w:trPr>
        <w:tc>
          <w:tcPr>
            <w:tcW w:w="1531" w:type="dxa"/>
            <w:vMerge w:val="restart"/>
            <w:tcMar>
              <w:top w:w="150" w:type="dxa"/>
              <w:left w:w="0" w:type="dxa"/>
              <w:bottom w:w="150" w:type="dxa"/>
              <w:right w:w="240" w:type="dxa"/>
            </w:tcMar>
            <w:vAlign w:val="center"/>
          </w:tcPr>
          <w:p w14:paraId="36FF38DC">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技术部分</w:t>
            </w:r>
          </w:p>
          <w:p w14:paraId="20F7B616">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 xml:space="preserve"> (</w:t>
            </w:r>
            <w:r>
              <w:rPr>
                <w:rFonts w:hint="eastAsia" w:ascii="仿宋" w:hAnsi="仿宋" w:eastAsia="仿宋" w:cs="宋体"/>
                <w:bCs/>
                <w:kern w:val="0"/>
                <w:szCs w:val="21"/>
                <w:highlight w:val="none"/>
              </w:rPr>
              <w:t>55</w:t>
            </w:r>
            <w:r>
              <w:rPr>
                <w:rFonts w:ascii="仿宋" w:hAnsi="仿宋" w:eastAsia="仿宋" w:cs="宋体"/>
                <w:bCs/>
                <w:kern w:val="0"/>
                <w:szCs w:val="21"/>
                <w:highlight w:val="none"/>
              </w:rPr>
              <w:t>分)</w:t>
            </w:r>
          </w:p>
        </w:tc>
        <w:tc>
          <w:tcPr>
            <w:tcW w:w="1446" w:type="dxa"/>
            <w:tcMar>
              <w:top w:w="150" w:type="dxa"/>
              <w:left w:w="240" w:type="dxa"/>
              <w:bottom w:w="150" w:type="dxa"/>
              <w:right w:w="240" w:type="dxa"/>
            </w:tcMar>
            <w:vAlign w:val="center"/>
          </w:tcPr>
          <w:p w14:paraId="02499308">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项目重点、难点的分析与解决方案</w:t>
            </w:r>
          </w:p>
        </w:tc>
        <w:tc>
          <w:tcPr>
            <w:tcW w:w="4395" w:type="dxa"/>
            <w:tcMar>
              <w:top w:w="150" w:type="dxa"/>
              <w:left w:w="240" w:type="dxa"/>
              <w:bottom w:w="150" w:type="dxa"/>
              <w:right w:w="240" w:type="dxa"/>
            </w:tcMar>
            <w:vAlign w:val="center"/>
          </w:tcPr>
          <w:p w14:paraId="182E26AC">
            <w:pPr>
              <w:widowControl/>
              <w:rPr>
                <w:rFonts w:hint="eastAsia" w:ascii="仿宋" w:hAnsi="仿宋" w:eastAsia="仿宋" w:cs="宋体"/>
                <w:bCs/>
                <w:szCs w:val="21"/>
                <w:highlight w:val="none"/>
              </w:rPr>
            </w:pPr>
            <w:r>
              <w:rPr>
                <w:rFonts w:hint="eastAsia" w:ascii="仿宋" w:hAnsi="仿宋" w:eastAsia="仿宋" w:cs="宋体"/>
                <w:bCs/>
                <w:szCs w:val="21"/>
                <w:highlight w:val="none"/>
              </w:rPr>
              <w:t>根据供应商对本项目的“项目重点、难点的分析与解决方案”进行评价：</w:t>
            </w:r>
          </w:p>
          <w:p w14:paraId="09E1F31D">
            <w:pPr>
              <w:widowControl/>
              <w:rPr>
                <w:rFonts w:hint="eastAsia" w:ascii="仿宋" w:hAnsi="仿宋" w:eastAsia="仿宋" w:cs="宋体"/>
                <w:bCs/>
                <w:szCs w:val="21"/>
                <w:highlight w:val="none"/>
              </w:rPr>
            </w:pPr>
            <w:r>
              <w:rPr>
                <w:rFonts w:hint="eastAsia" w:ascii="仿宋" w:hAnsi="仿宋" w:eastAsia="仿宋" w:cs="宋体"/>
                <w:bCs/>
                <w:szCs w:val="21"/>
                <w:highlight w:val="none"/>
              </w:rPr>
              <w:t>对本项目理解深入、重点难点分析全面贴合现状，解决方案内容详细，目标明确，切实可行得11-15分；</w:t>
            </w:r>
          </w:p>
          <w:p w14:paraId="63CF20C3">
            <w:pPr>
              <w:widowControl/>
              <w:rPr>
                <w:rFonts w:hint="eastAsia" w:ascii="仿宋" w:hAnsi="仿宋" w:eastAsia="仿宋" w:cs="宋体"/>
                <w:bCs/>
                <w:szCs w:val="21"/>
                <w:highlight w:val="none"/>
              </w:rPr>
            </w:pPr>
            <w:r>
              <w:rPr>
                <w:rFonts w:hint="eastAsia" w:ascii="仿宋" w:hAnsi="仿宋" w:eastAsia="仿宋" w:cs="宋体"/>
                <w:bCs/>
                <w:szCs w:val="21"/>
                <w:highlight w:val="none"/>
              </w:rPr>
              <w:t>对本项目理解一般，重点难点分析较全面符合现状，解决方案内容较完整、可行得6-10分；</w:t>
            </w:r>
          </w:p>
          <w:p w14:paraId="13CE35FA">
            <w:pPr>
              <w:widowControl/>
              <w:rPr>
                <w:rFonts w:hint="eastAsia" w:ascii="仿宋" w:hAnsi="仿宋" w:eastAsia="仿宋" w:cs="宋体"/>
                <w:bCs/>
                <w:szCs w:val="21"/>
                <w:highlight w:val="none"/>
              </w:rPr>
            </w:pPr>
            <w:r>
              <w:rPr>
                <w:rFonts w:hint="eastAsia" w:ascii="仿宋" w:hAnsi="仿宋" w:eastAsia="仿宋" w:cs="宋体"/>
                <w:bCs/>
                <w:szCs w:val="21"/>
                <w:highlight w:val="none"/>
              </w:rPr>
              <w:t>对本项目理解一般，重点难点分析与现状有偏差，解决方案一般得1-5分；</w:t>
            </w:r>
          </w:p>
          <w:p w14:paraId="54A7C208">
            <w:pPr>
              <w:widowControl/>
              <w:rPr>
                <w:rFonts w:hint="eastAsia" w:ascii="仿宋" w:hAnsi="仿宋" w:eastAsia="仿宋" w:cs="宋体"/>
                <w:bCs/>
                <w:szCs w:val="21"/>
                <w:highlight w:val="none"/>
              </w:rPr>
            </w:pPr>
            <w:r>
              <w:rPr>
                <w:rFonts w:hint="eastAsia" w:ascii="仿宋" w:hAnsi="仿宋" w:eastAsia="仿宋" w:cs="宋体"/>
                <w:bCs/>
                <w:szCs w:val="21"/>
                <w:highlight w:val="none"/>
              </w:rPr>
              <w:t>对本项目理解、重点难点分析、解决方案均较差或未提供不得分。</w:t>
            </w:r>
          </w:p>
        </w:tc>
        <w:tc>
          <w:tcPr>
            <w:tcW w:w="1134" w:type="dxa"/>
            <w:tcMar>
              <w:top w:w="150" w:type="dxa"/>
              <w:left w:w="240" w:type="dxa"/>
              <w:bottom w:w="150" w:type="dxa"/>
              <w:right w:w="240" w:type="dxa"/>
            </w:tcMar>
            <w:vAlign w:val="center"/>
          </w:tcPr>
          <w:p w14:paraId="430896DE">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15</w:t>
            </w:r>
          </w:p>
        </w:tc>
        <w:tc>
          <w:tcPr>
            <w:tcW w:w="1417" w:type="dxa"/>
            <w:tcMar>
              <w:top w:w="150" w:type="dxa"/>
              <w:left w:w="240" w:type="dxa"/>
              <w:bottom w:w="150" w:type="dxa"/>
              <w:right w:w="0" w:type="dxa"/>
            </w:tcMar>
            <w:vAlign w:val="center"/>
          </w:tcPr>
          <w:p w14:paraId="0B0446A8">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主观</w:t>
            </w:r>
          </w:p>
        </w:tc>
      </w:tr>
      <w:tr w14:paraId="11C453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90" w:hRule="atLeast"/>
        </w:trPr>
        <w:tc>
          <w:tcPr>
            <w:tcW w:w="1531" w:type="dxa"/>
            <w:vMerge w:val="continue"/>
            <w:tcMar>
              <w:top w:w="150" w:type="dxa"/>
              <w:left w:w="0" w:type="dxa"/>
              <w:bottom w:w="150" w:type="dxa"/>
              <w:right w:w="240" w:type="dxa"/>
            </w:tcMar>
            <w:vAlign w:val="center"/>
          </w:tcPr>
          <w:p w14:paraId="02D613A3">
            <w:pPr>
              <w:widowControl/>
              <w:contextualSpacing/>
              <w:jc w:val="center"/>
              <w:rPr>
                <w:rFonts w:hint="eastAsia" w:ascii="仿宋" w:hAnsi="仿宋" w:eastAsia="仿宋" w:cs="宋体"/>
                <w:bCs/>
                <w:kern w:val="0"/>
                <w:szCs w:val="21"/>
                <w:highlight w:val="none"/>
              </w:rPr>
            </w:pPr>
          </w:p>
        </w:tc>
        <w:tc>
          <w:tcPr>
            <w:tcW w:w="1446" w:type="dxa"/>
            <w:tcMar>
              <w:top w:w="150" w:type="dxa"/>
              <w:left w:w="240" w:type="dxa"/>
              <w:bottom w:w="150" w:type="dxa"/>
              <w:right w:w="240" w:type="dxa"/>
            </w:tcMar>
            <w:vAlign w:val="center"/>
          </w:tcPr>
          <w:p w14:paraId="42699FBB">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数字化加工</w:t>
            </w:r>
            <w:r>
              <w:rPr>
                <w:rFonts w:ascii="仿宋" w:hAnsi="仿宋" w:eastAsia="仿宋" w:cs="宋体"/>
                <w:bCs/>
                <w:kern w:val="0"/>
                <w:szCs w:val="21"/>
                <w:highlight w:val="none"/>
              </w:rPr>
              <w:t>服务方案</w:t>
            </w:r>
          </w:p>
        </w:tc>
        <w:tc>
          <w:tcPr>
            <w:tcW w:w="4395" w:type="dxa"/>
            <w:tcMar>
              <w:top w:w="150" w:type="dxa"/>
              <w:left w:w="240" w:type="dxa"/>
              <w:bottom w:w="150" w:type="dxa"/>
              <w:right w:w="240" w:type="dxa"/>
            </w:tcMar>
            <w:vAlign w:val="center"/>
          </w:tcPr>
          <w:p w14:paraId="0341683B">
            <w:pPr>
              <w:widowControl/>
              <w:rPr>
                <w:rFonts w:hint="eastAsia" w:ascii="仿宋" w:hAnsi="仿宋" w:eastAsia="仿宋" w:cs="宋体"/>
                <w:bCs/>
                <w:szCs w:val="21"/>
                <w:highlight w:val="none"/>
              </w:rPr>
            </w:pPr>
            <w:r>
              <w:rPr>
                <w:rFonts w:hint="eastAsia" w:ascii="仿宋" w:hAnsi="仿宋" w:eastAsia="仿宋" w:cs="宋体"/>
                <w:bCs/>
                <w:szCs w:val="21"/>
                <w:highlight w:val="none"/>
              </w:rPr>
              <w:t>根据供应商提供的针对本项目的全流程服务方案综合评审（应涵盖病案接收清点、整理分类、拆卷装订、扫描采集、图像处理、索引编目、质检复核、数据挂接、原件还原装订、成品交付等环节）：方案内容全面、完整、具体、针对性强、可操作性强得 11-15 分；方案内容全面、完整、具体、针对性较强、可操作性较强得 6-10 分；方案内容的全面性、完整性、可行性一般，针对性一般，可操作性一般得 1-5 分；方案内容不全面、不完整、不具体、针对性不强、可操作性不强或未提供不得分。</w:t>
            </w:r>
          </w:p>
        </w:tc>
        <w:tc>
          <w:tcPr>
            <w:tcW w:w="1134" w:type="dxa"/>
            <w:tcMar>
              <w:top w:w="150" w:type="dxa"/>
              <w:left w:w="240" w:type="dxa"/>
              <w:bottom w:w="150" w:type="dxa"/>
              <w:right w:w="240" w:type="dxa"/>
            </w:tcMar>
            <w:vAlign w:val="center"/>
          </w:tcPr>
          <w:p w14:paraId="3280D1CD">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15</w:t>
            </w:r>
          </w:p>
        </w:tc>
        <w:tc>
          <w:tcPr>
            <w:tcW w:w="1417" w:type="dxa"/>
            <w:tcMar>
              <w:top w:w="150" w:type="dxa"/>
              <w:left w:w="240" w:type="dxa"/>
              <w:bottom w:w="150" w:type="dxa"/>
              <w:right w:w="0" w:type="dxa"/>
            </w:tcMar>
            <w:vAlign w:val="center"/>
          </w:tcPr>
          <w:p w14:paraId="7B76A825">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主观</w:t>
            </w:r>
          </w:p>
        </w:tc>
      </w:tr>
      <w:tr w14:paraId="0D123D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rHeight w:val="1656" w:hRule="atLeast"/>
        </w:trPr>
        <w:tc>
          <w:tcPr>
            <w:tcW w:w="1531" w:type="dxa"/>
            <w:vMerge w:val="continue"/>
            <w:tcMar>
              <w:top w:w="150" w:type="dxa"/>
              <w:left w:w="0" w:type="dxa"/>
              <w:bottom w:w="150" w:type="dxa"/>
              <w:right w:w="240" w:type="dxa"/>
            </w:tcMar>
            <w:vAlign w:val="center"/>
          </w:tcPr>
          <w:p w14:paraId="569C1C5D">
            <w:pPr>
              <w:widowControl/>
              <w:contextualSpacing/>
              <w:jc w:val="center"/>
              <w:rPr>
                <w:rFonts w:hint="eastAsia" w:ascii="仿宋" w:hAnsi="仿宋" w:eastAsia="仿宋" w:cs="宋体"/>
                <w:bCs/>
                <w:kern w:val="0"/>
                <w:szCs w:val="21"/>
                <w:highlight w:val="none"/>
              </w:rPr>
            </w:pPr>
          </w:p>
        </w:tc>
        <w:tc>
          <w:tcPr>
            <w:tcW w:w="1446" w:type="dxa"/>
            <w:tcMar>
              <w:top w:w="150" w:type="dxa"/>
              <w:left w:w="240" w:type="dxa"/>
              <w:bottom w:w="150" w:type="dxa"/>
              <w:right w:w="240" w:type="dxa"/>
            </w:tcMar>
            <w:vAlign w:val="center"/>
          </w:tcPr>
          <w:p w14:paraId="1D69C3CB">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lang w:bidi="ar"/>
              </w:rPr>
              <w:t>质量管控与保障方案</w:t>
            </w:r>
          </w:p>
        </w:tc>
        <w:tc>
          <w:tcPr>
            <w:tcW w:w="4395" w:type="dxa"/>
            <w:tcMar>
              <w:top w:w="150" w:type="dxa"/>
              <w:left w:w="240" w:type="dxa"/>
              <w:bottom w:w="150" w:type="dxa"/>
              <w:right w:w="240" w:type="dxa"/>
            </w:tcMar>
            <w:vAlign w:val="center"/>
          </w:tcPr>
          <w:p w14:paraId="1CF32183">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lang w:bidi="ar"/>
              </w:rPr>
              <w:t>根据供应商提出的质量管控方案进行评审，须充分体现：①完善的三级质检机制（自检、互检、抽检）及差错率控制措施；②图像质量（分辨率、清晰度、1:1 还原）、索引与图像挂接准确率、影像与数据库匹配准确率的保障手段；③差错率超 2% 时整批次返工的执行预案；④病案原件还原归档（顺序、错页漏页防控、重新装订）的质量保证措施。每满足一项得 2.5 分，最高得 10 分；未明确体现或无法判断的不得分。</w:t>
            </w:r>
          </w:p>
        </w:tc>
        <w:tc>
          <w:tcPr>
            <w:tcW w:w="1134" w:type="dxa"/>
            <w:tcMar>
              <w:top w:w="150" w:type="dxa"/>
              <w:left w:w="240" w:type="dxa"/>
              <w:bottom w:w="150" w:type="dxa"/>
              <w:right w:w="240" w:type="dxa"/>
            </w:tcMar>
            <w:vAlign w:val="center"/>
          </w:tcPr>
          <w:p w14:paraId="091FAD62">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10</w:t>
            </w:r>
          </w:p>
        </w:tc>
        <w:tc>
          <w:tcPr>
            <w:tcW w:w="1417" w:type="dxa"/>
            <w:tcMar>
              <w:top w:w="150" w:type="dxa"/>
              <w:left w:w="240" w:type="dxa"/>
              <w:bottom w:w="150" w:type="dxa"/>
              <w:right w:w="0" w:type="dxa"/>
            </w:tcMar>
            <w:vAlign w:val="center"/>
          </w:tcPr>
          <w:p w14:paraId="0C80D539">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主观</w:t>
            </w:r>
          </w:p>
        </w:tc>
      </w:tr>
      <w:tr w14:paraId="69FB5F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vMerge w:val="continue"/>
            <w:tcMar>
              <w:top w:w="150" w:type="dxa"/>
              <w:left w:w="0" w:type="dxa"/>
              <w:bottom w:w="150" w:type="dxa"/>
              <w:right w:w="240" w:type="dxa"/>
            </w:tcMar>
            <w:vAlign w:val="center"/>
          </w:tcPr>
          <w:p w14:paraId="1355D58B">
            <w:pPr>
              <w:widowControl/>
              <w:contextualSpacing/>
              <w:jc w:val="center"/>
              <w:rPr>
                <w:rFonts w:hint="eastAsia" w:ascii="仿宋" w:hAnsi="仿宋" w:eastAsia="仿宋" w:cs="宋体"/>
                <w:bCs/>
                <w:kern w:val="0"/>
                <w:szCs w:val="21"/>
                <w:highlight w:val="none"/>
              </w:rPr>
            </w:pPr>
          </w:p>
        </w:tc>
        <w:tc>
          <w:tcPr>
            <w:tcW w:w="1446" w:type="dxa"/>
            <w:tcMar>
              <w:top w:w="150" w:type="dxa"/>
              <w:left w:w="240" w:type="dxa"/>
              <w:bottom w:w="150" w:type="dxa"/>
              <w:right w:w="240" w:type="dxa"/>
            </w:tcMar>
            <w:vAlign w:val="center"/>
          </w:tcPr>
          <w:p w14:paraId="3F67E029">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保密与信息安全管理方案</w:t>
            </w:r>
          </w:p>
        </w:tc>
        <w:tc>
          <w:tcPr>
            <w:tcW w:w="4395" w:type="dxa"/>
            <w:tcMar>
              <w:top w:w="150" w:type="dxa"/>
              <w:left w:w="240" w:type="dxa"/>
              <w:bottom w:w="150" w:type="dxa"/>
              <w:right w:w="240" w:type="dxa"/>
            </w:tcMar>
            <w:vAlign w:val="center"/>
          </w:tcPr>
          <w:p w14:paraId="63865D0A">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根据供应商针对病案患者隐私信息的保密与信息安全管理方案综合评审：保密制度完善、驻场人员保密管理（无犯罪记录、保密承诺、背景审查）、现场设备与网络管控（设备不接外网、U 盘管控、数据不留存）、加工数据安全（</w:t>
            </w:r>
            <w:bookmarkStart w:id="0" w:name="_GoBack"/>
            <w:bookmarkEnd w:id="0"/>
            <w:r>
              <w:rPr>
                <w:rFonts w:hint="eastAsia" w:ascii="仿宋" w:hAnsi="仿宋" w:eastAsia="仿宋" w:cs="宋体"/>
                <w:bCs/>
                <w:kern w:val="0"/>
                <w:szCs w:val="21"/>
                <w:highlight w:val="none"/>
              </w:rPr>
              <w:t>加密传输、权限管控、交付后数据清除）、泄密应急与责任追究机制健全，针对性强得 8-10 分；保密制度较完善，上述措施较健全，针对性较强得 4-7 分；保密制度一般，上述措施不完整，针对性一般得 1-3 分；方案较差或未提供不得分。</w:t>
            </w:r>
          </w:p>
        </w:tc>
        <w:tc>
          <w:tcPr>
            <w:tcW w:w="1134" w:type="dxa"/>
            <w:tcMar>
              <w:top w:w="150" w:type="dxa"/>
              <w:left w:w="240" w:type="dxa"/>
              <w:bottom w:w="150" w:type="dxa"/>
              <w:right w:w="240" w:type="dxa"/>
            </w:tcMar>
            <w:vAlign w:val="center"/>
          </w:tcPr>
          <w:p w14:paraId="5ED7E976">
            <w:pPr>
              <w:adjustRightInd w:val="0"/>
              <w:snapToGrid w:val="0"/>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10</w:t>
            </w:r>
          </w:p>
        </w:tc>
        <w:tc>
          <w:tcPr>
            <w:tcW w:w="1417" w:type="dxa"/>
            <w:tcMar>
              <w:top w:w="150" w:type="dxa"/>
              <w:left w:w="240" w:type="dxa"/>
              <w:bottom w:w="150" w:type="dxa"/>
              <w:right w:w="0" w:type="dxa"/>
            </w:tcMar>
            <w:vAlign w:val="center"/>
          </w:tcPr>
          <w:p w14:paraId="5E6432DA">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主观</w:t>
            </w:r>
          </w:p>
        </w:tc>
      </w:tr>
      <w:tr w14:paraId="1AC8AB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tcMar>
              <w:top w:w="150" w:type="dxa"/>
              <w:left w:w="0" w:type="dxa"/>
              <w:bottom w:w="150" w:type="dxa"/>
              <w:right w:w="240" w:type="dxa"/>
            </w:tcMar>
            <w:vAlign w:val="center"/>
          </w:tcPr>
          <w:p w14:paraId="16A3A0FF">
            <w:pPr>
              <w:widowControl/>
              <w:contextualSpacing/>
              <w:jc w:val="center"/>
              <w:rPr>
                <w:rFonts w:hint="eastAsia" w:ascii="仿宋" w:hAnsi="仿宋" w:eastAsia="仿宋" w:cs="宋体"/>
                <w:bCs/>
                <w:kern w:val="0"/>
                <w:szCs w:val="21"/>
                <w:highlight w:val="none"/>
              </w:rPr>
            </w:pPr>
          </w:p>
        </w:tc>
        <w:tc>
          <w:tcPr>
            <w:tcW w:w="1446" w:type="dxa"/>
            <w:tcMar>
              <w:top w:w="150" w:type="dxa"/>
              <w:left w:w="240" w:type="dxa"/>
              <w:bottom w:w="150" w:type="dxa"/>
              <w:right w:w="240" w:type="dxa"/>
            </w:tcMar>
            <w:vAlign w:val="center"/>
          </w:tcPr>
          <w:p w14:paraId="007DD287">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系统适配与突发应急预案</w:t>
            </w:r>
          </w:p>
        </w:tc>
        <w:tc>
          <w:tcPr>
            <w:tcW w:w="4395" w:type="dxa"/>
            <w:tcMar>
              <w:top w:w="150" w:type="dxa"/>
              <w:left w:w="240" w:type="dxa"/>
              <w:bottom w:w="150" w:type="dxa"/>
              <w:right w:w="240" w:type="dxa"/>
            </w:tcMar>
            <w:vAlign w:val="center"/>
          </w:tcPr>
          <w:p w14:paraId="7065D4FF">
            <w:pPr>
              <w:widowControl/>
              <w:contextualSpacing/>
              <w:jc w:val="center"/>
              <w:rPr>
                <w:rFonts w:hint="eastAsia" w:ascii="仿宋" w:hAnsi="仿宋" w:eastAsia="仿宋" w:cs="宋体"/>
                <w:bCs/>
                <w:kern w:val="0"/>
                <w:szCs w:val="21"/>
                <w:highlight w:val="none"/>
              </w:rPr>
            </w:pPr>
            <w:r>
              <w:rPr>
                <w:rFonts w:hint="eastAsia" w:ascii="仿宋" w:hAnsi="仿宋" w:eastAsia="仿宋" w:cs="宋体"/>
                <w:bCs/>
                <w:kern w:val="0"/>
                <w:szCs w:val="21"/>
                <w:highlight w:val="none"/>
              </w:rPr>
              <w:t>根据供应商提供的系统适配方案及突发应急预案综合评审：①系统适配：明确说明加工成果（TIFF/JPG 图像、索引元数据）兼容我院现有病案管理系统，支持索引检索、借阅权限管理、线上审批、批量导出等，提供同类系统对接案例得 2-3 分；②应急预案：针对病案原件损坏 / 丢失、数据泄露、系统对接故障、加工设备故障、人员突发变动等场景，应急响应迅速、预案内容充实合理、科学性针对性高得 2 分；两项合计最高 5 分，未提供不得分。</w:t>
            </w:r>
          </w:p>
        </w:tc>
        <w:tc>
          <w:tcPr>
            <w:tcW w:w="1134" w:type="dxa"/>
            <w:tcMar>
              <w:top w:w="150" w:type="dxa"/>
              <w:left w:w="240" w:type="dxa"/>
              <w:bottom w:w="150" w:type="dxa"/>
              <w:right w:w="240" w:type="dxa"/>
            </w:tcMar>
            <w:vAlign w:val="center"/>
          </w:tcPr>
          <w:p w14:paraId="08236174">
            <w:pPr>
              <w:adjustRightInd w:val="0"/>
              <w:snapToGrid w:val="0"/>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5</w:t>
            </w:r>
          </w:p>
        </w:tc>
        <w:tc>
          <w:tcPr>
            <w:tcW w:w="1417" w:type="dxa"/>
            <w:tcMar>
              <w:top w:w="150" w:type="dxa"/>
              <w:left w:w="240" w:type="dxa"/>
              <w:bottom w:w="150" w:type="dxa"/>
              <w:right w:w="0" w:type="dxa"/>
            </w:tcMar>
            <w:vAlign w:val="center"/>
          </w:tcPr>
          <w:p w14:paraId="20706588">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主观</w:t>
            </w:r>
          </w:p>
        </w:tc>
      </w:tr>
      <w:tr w14:paraId="2E56D3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1531" w:type="dxa"/>
            <w:tcMar>
              <w:top w:w="150" w:type="dxa"/>
              <w:left w:w="0" w:type="dxa"/>
              <w:bottom w:w="150" w:type="dxa"/>
              <w:right w:w="240" w:type="dxa"/>
            </w:tcMar>
            <w:vAlign w:val="center"/>
          </w:tcPr>
          <w:p w14:paraId="3EB910BE">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总评分</w:t>
            </w:r>
          </w:p>
        </w:tc>
        <w:tc>
          <w:tcPr>
            <w:tcW w:w="1446" w:type="dxa"/>
            <w:tcMar>
              <w:top w:w="150" w:type="dxa"/>
              <w:left w:w="240" w:type="dxa"/>
              <w:bottom w:w="150" w:type="dxa"/>
              <w:right w:w="240" w:type="dxa"/>
            </w:tcMar>
            <w:vAlign w:val="center"/>
          </w:tcPr>
          <w:p w14:paraId="64884FD2">
            <w:pPr>
              <w:widowControl/>
              <w:contextualSpacing/>
              <w:jc w:val="center"/>
              <w:rPr>
                <w:rFonts w:hint="eastAsia" w:ascii="仿宋" w:hAnsi="仿宋" w:eastAsia="仿宋" w:cs="宋体"/>
                <w:bCs/>
                <w:kern w:val="0"/>
                <w:szCs w:val="21"/>
                <w:highlight w:val="none"/>
              </w:rPr>
            </w:pPr>
          </w:p>
        </w:tc>
        <w:tc>
          <w:tcPr>
            <w:tcW w:w="4395" w:type="dxa"/>
            <w:tcMar>
              <w:top w:w="150" w:type="dxa"/>
              <w:left w:w="240" w:type="dxa"/>
              <w:bottom w:w="150" w:type="dxa"/>
              <w:right w:w="240" w:type="dxa"/>
            </w:tcMar>
            <w:vAlign w:val="center"/>
          </w:tcPr>
          <w:p w14:paraId="1CFC456A">
            <w:pPr>
              <w:widowControl/>
              <w:contextualSpacing/>
              <w:jc w:val="center"/>
              <w:rPr>
                <w:rFonts w:hint="eastAsia" w:ascii="仿宋" w:hAnsi="仿宋" w:eastAsia="仿宋" w:cs="宋体"/>
                <w:bCs/>
                <w:kern w:val="0"/>
                <w:szCs w:val="21"/>
                <w:highlight w:val="none"/>
              </w:rPr>
            </w:pPr>
          </w:p>
        </w:tc>
        <w:tc>
          <w:tcPr>
            <w:tcW w:w="1134" w:type="dxa"/>
            <w:tcMar>
              <w:top w:w="150" w:type="dxa"/>
              <w:left w:w="240" w:type="dxa"/>
              <w:bottom w:w="150" w:type="dxa"/>
              <w:right w:w="240" w:type="dxa"/>
            </w:tcMar>
            <w:vAlign w:val="center"/>
          </w:tcPr>
          <w:p w14:paraId="602782D9">
            <w:pPr>
              <w:widowControl/>
              <w:contextualSpacing/>
              <w:jc w:val="center"/>
              <w:rPr>
                <w:rFonts w:hint="eastAsia" w:ascii="仿宋" w:hAnsi="仿宋" w:eastAsia="仿宋" w:cs="宋体"/>
                <w:bCs/>
                <w:kern w:val="0"/>
                <w:szCs w:val="21"/>
                <w:highlight w:val="none"/>
              </w:rPr>
            </w:pPr>
            <w:r>
              <w:rPr>
                <w:rFonts w:ascii="仿宋" w:hAnsi="仿宋" w:eastAsia="仿宋" w:cs="宋体"/>
                <w:bCs/>
                <w:kern w:val="0"/>
                <w:szCs w:val="21"/>
                <w:highlight w:val="none"/>
              </w:rPr>
              <w:t>100分</w:t>
            </w:r>
          </w:p>
        </w:tc>
        <w:tc>
          <w:tcPr>
            <w:tcW w:w="1417" w:type="dxa"/>
            <w:tcMar>
              <w:top w:w="150" w:type="dxa"/>
              <w:left w:w="240" w:type="dxa"/>
              <w:bottom w:w="150" w:type="dxa"/>
              <w:right w:w="0" w:type="dxa"/>
            </w:tcMar>
            <w:vAlign w:val="center"/>
          </w:tcPr>
          <w:p w14:paraId="053087FA">
            <w:pPr>
              <w:widowControl/>
              <w:contextualSpacing/>
              <w:jc w:val="left"/>
              <w:rPr>
                <w:rFonts w:hint="eastAsia" w:ascii="仿宋" w:hAnsi="仿宋" w:eastAsia="仿宋" w:cs="Times New Roman"/>
                <w:bCs/>
                <w:kern w:val="0"/>
                <w:szCs w:val="21"/>
                <w:highlight w:val="none"/>
              </w:rPr>
            </w:pPr>
          </w:p>
        </w:tc>
      </w:tr>
    </w:tbl>
    <w:p w14:paraId="6D9AA368">
      <w:pPr>
        <w:widowControl/>
        <w:shd w:val="clear" w:color="auto" w:fill="FFFFFF"/>
        <w:spacing w:line="520" w:lineRule="exact"/>
        <w:contextualSpacing/>
        <w:jc w:val="left"/>
        <w:rPr>
          <w:rFonts w:hint="eastAsia" w:ascii="仿宋" w:hAnsi="仿宋" w:eastAsia="仿宋" w:cs="Segoe UI"/>
          <w:color w:val="0F1115"/>
          <w:kern w:val="0"/>
          <w:sz w:val="24"/>
          <w:szCs w:val="24"/>
          <w:highlight w:val="none"/>
        </w:rPr>
      </w:pPr>
      <w:r>
        <w:rPr>
          <w:rFonts w:ascii="仿宋" w:hAnsi="仿宋" w:eastAsia="仿宋" w:cs="Segoe UI"/>
          <w:bCs/>
          <w:color w:val="0F1115"/>
          <w:kern w:val="0"/>
          <w:sz w:val="24"/>
          <w:szCs w:val="24"/>
          <w:highlight w:val="none"/>
        </w:rPr>
        <w:t>评审委员会确认：</w:t>
      </w:r>
    </w:p>
    <w:p w14:paraId="51272457">
      <w:pPr>
        <w:widowControl/>
        <w:shd w:val="clear" w:color="auto" w:fill="FFFFFF"/>
        <w:spacing w:line="520" w:lineRule="exact"/>
        <w:contextualSpacing/>
        <w:jc w:val="left"/>
        <w:rPr>
          <w:rFonts w:hint="eastAsia" w:ascii="仿宋" w:hAnsi="仿宋" w:eastAsia="仿宋" w:cs="Segoe UI"/>
          <w:color w:val="0F1115"/>
          <w:kern w:val="0"/>
          <w:sz w:val="24"/>
          <w:szCs w:val="24"/>
          <w:highlight w:val="none"/>
        </w:rPr>
      </w:pPr>
      <w:r>
        <w:rPr>
          <w:rFonts w:ascii="仿宋" w:hAnsi="仿宋" w:eastAsia="仿宋" w:cs="Segoe UI"/>
          <w:color w:val="0F1115"/>
          <w:kern w:val="0"/>
          <w:sz w:val="24"/>
          <w:szCs w:val="24"/>
          <w:highlight w:val="none"/>
        </w:rPr>
        <w:t>我们确认，已根据比选文件规定的评审标准和程序，对所有通过资格性及符合性审查的参选文件进行了独立、公正的评审，并依据上表评分标准得出各项得分及总评分。</w:t>
      </w:r>
    </w:p>
    <w:p w14:paraId="340512D5">
      <w:pPr>
        <w:widowControl/>
        <w:shd w:val="clear" w:color="auto" w:fill="FFFFFF"/>
        <w:spacing w:line="520" w:lineRule="exact"/>
        <w:contextualSpacing/>
        <w:jc w:val="left"/>
        <w:rPr>
          <w:rFonts w:hint="eastAsia" w:ascii="仿宋" w:hAnsi="仿宋" w:eastAsia="仿宋" w:cs="Segoe UI"/>
          <w:color w:val="0F1115"/>
          <w:kern w:val="0"/>
          <w:sz w:val="24"/>
          <w:szCs w:val="24"/>
          <w:highlight w:val="none"/>
        </w:rPr>
      </w:pPr>
      <w:r>
        <w:rPr>
          <w:rFonts w:ascii="仿宋" w:hAnsi="仿宋" w:eastAsia="仿宋" w:cs="Segoe UI"/>
          <w:color w:val="0F1115"/>
          <w:kern w:val="0"/>
          <w:sz w:val="24"/>
          <w:szCs w:val="24"/>
          <w:highlight w:val="none"/>
        </w:rPr>
        <w:t xml:space="preserve">评审员（签字）：__________ __________ __________ </w:t>
      </w:r>
    </w:p>
    <w:p w14:paraId="55E42AF8">
      <w:r>
        <w:rPr>
          <w:rFonts w:ascii="仿宋" w:hAnsi="仿宋" w:eastAsia="仿宋" w:cs="Segoe UI"/>
          <w:color w:val="0F1115"/>
          <w:kern w:val="0"/>
          <w:sz w:val="24"/>
          <w:szCs w:val="24"/>
          <w:highlight w:val="none"/>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C262ED"/>
    <w:rsid w:val="33C262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2026-10-14T08:37:00Z</dcterms:created>
  <dc:creator>Lyn</dc:creator>
  <cp:lastModifiedBy>Lyn</cp:lastModifiedBy>
  <dcterms:modified xsi:type="dcterms:W3CDTF">2026-10-14T08:38:57Z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017B4837F4D1416490C9CFE3466AF9CA_11</vt:lpwstr>
  </property>
  <property fmtid="{D5CDD505-2E9C-101B-9397-08002B2CF9AE}" pid="4" name="KSOTemplateDocerSaveRecord">
    <vt:lpwstr>eyJoZGlkIjoiMzI1NTc2YjM3YjBhNGRlYTk3YmY1YzQ4ZGRhMmI5ZWUiLCJ1c2VySWQiOiI0MzA1OTk4ODEifQ==</vt:lpwstr>
  </property>
</Properties>
</file>