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F02C5">
      <w:pPr>
        <w:widowControl/>
        <w:shd w:val="clear" w:color="auto" w:fill="FFFFFF"/>
        <w:spacing w:line="520" w:lineRule="exact"/>
        <w:contextualSpacing/>
        <w:rPr>
          <w:rFonts w:ascii="仿宋" w:hAnsi="仿宋" w:eastAsia="仿宋" w:cs="Segoe UI"/>
          <w:b/>
          <w:bCs/>
          <w:sz w:val="44"/>
          <w:szCs w:val="44"/>
          <w:highlight w:val="none"/>
        </w:rPr>
      </w:pPr>
      <w:r>
        <w:rPr>
          <w:rFonts w:ascii="仿宋" w:hAnsi="仿宋" w:eastAsia="仿宋" w:cs="Segoe UI"/>
          <w:b/>
          <w:bCs/>
          <w:sz w:val="32"/>
          <w:szCs w:val="32"/>
          <w:highlight w:val="none"/>
        </w:rPr>
        <w:t>附件</w:t>
      </w:r>
      <w:r>
        <w:rPr>
          <w:rFonts w:hint="eastAsia" w:ascii="仿宋" w:hAnsi="仿宋" w:eastAsia="仿宋" w:cs="Segoe UI"/>
          <w:b/>
          <w:bCs/>
          <w:sz w:val="32"/>
          <w:szCs w:val="32"/>
          <w:highlight w:val="none"/>
          <w:lang w:val="en-US" w:eastAsia="zh-CN"/>
        </w:rPr>
        <w:t>三</w:t>
      </w:r>
      <w:r>
        <w:rPr>
          <w:rFonts w:ascii="仿宋" w:hAnsi="仿宋" w:eastAsia="仿宋" w:cs="Segoe UI"/>
          <w:b/>
          <w:bCs/>
          <w:sz w:val="32"/>
          <w:szCs w:val="32"/>
          <w:highlight w:val="none"/>
        </w:rPr>
        <w:t>：资格性审查表</w:t>
      </w:r>
    </w:p>
    <w:p w14:paraId="697CAAAF">
      <w:pPr>
        <w:widowControl/>
        <w:shd w:val="clear" w:color="auto" w:fill="FFFFFF"/>
        <w:spacing w:line="520" w:lineRule="exact"/>
        <w:contextualSpacing/>
        <w:rPr>
          <w:rFonts w:hint="eastAsia" w:ascii="仿宋" w:hAnsi="仿宋" w:eastAsia="仿宋" w:cs="Segoe UI"/>
          <w:bCs/>
          <w:sz w:val="24"/>
          <w:szCs w:val="24"/>
          <w:highlight w:val="none"/>
          <w:lang w:eastAsia="zh-CN"/>
        </w:rPr>
      </w:pPr>
      <w:r>
        <w:rPr>
          <w:rFonts w:ascii="仿宋" w:hAnsi="仿宋" w:eastAsia="仿宋" w:cs="Segoe UI"/>
          <w:bCs/>
          <w:color w:val="0F1115"/>
          <w:sz w:val="24"/>
          <w:szCs w:val="24"/>
          <w:highlight w:val="none"/>
          <w:shd w:val="clear" w:color="auto" w:fill="FFFFFF"/>
        </w:rPr>
        <w:t>项目名称：</w:t>
      </w:r>
      <w:r>
        <w:rPr>
          <w:rFonts w:hint="eastAsia" w:ascii="仿宋" w:hAnsi="仿宋" w:eastAsia="仿宋" w:cs="Segoe UI"/>
          <w:bCs/>
          <w:color w:val="0F1115"/>
          <w:sz w:val="24"/>
          <w:szCs w:val="24"/>
          <w:highlight w:val="none"/>
          <w:shd w:val="clear" w:color="auto" w:fill="FFFFFF"/>
          <w:lang w:eastAsia="zh-CN"/>
        </w:rPr>
        <w:t>北京口腔医院北京口腔医院病案数字化技术服务项目</w:t>
      </w:r>
    </w:p>
    <w:p w14:paraId="06AB93CA">
      <w:pPr>
        <w:pStyle w:val="4"/>
        <w:shd w:val="clear" w:color="auto" w:fill="FFFFFF"/>
        <w:spacing w:before="0" w:beforeAutospacing="0" w:after="0" w:afterAutospacing="0" w:line="520" w:lineRule="exact"/>
        <w:contextualSpacing/>
        <w:rPr>
          <w:rFonts w:ascii="仿宋" w:hAnsi="仿宋" w:eastAsia="仿宋" w:cs="Segoe UI"/>
          <w:color w:val="0F1115"/>
          <w:highlight w:val="none"/>
        </w:rPr>
      </w:pPr>
      <w:r>
        <w:rPr>
          <w:rFonts w:ascii="仿宋" w:hAnsi="仿宋" w:eastAsia="仿宋" w:cs="Segoe UI"/>
          <w:bCs/>
          <w:color w:val="0F1115"/>
          <w:highlight w:val="none"/>
        </w:rPr>
        <w:t>评审原则：</w:t>
      </w:r>
      <w:r>
        <w:rPr>
          <w:rFonts w:ascii="Calibri" w:hAnsi="Calibri" w:eastAsia="仿宋" w:cs="Calibri"/>
          <w:color w:val="0F1115"/>
          <w:highlight w:val="none"/>
        </w:rPr>
        <w:t> </w:t>
      </w:r>
      <w:r>
        <w:rPr>
          <w:rFonts w:ascii="仿宋" w:hAnsi="仿宋" w:eastAsia="仿宋" w:cs="Segoe UI"/>
          <w:color w:val="0F1115"/>
          <w:highlight w:val="none"/>
        </w:rPr>
        <w:t>以下</w:t>
      </w:r>
      <w:r>
        <w:rPr>
          <w:rFonts w:hint="eastAsia" w:ascii="仿宋" w:hAnsi="仿宋" w:eastAsia="仿宋" w:cs="Segoe UI"/>
          <w:color w:val="0F1115"/>
          <w:highlight w:val="none"/>
        </w:rPr>
        <w:t>九</w:t>
      </w:r>
      <w:r>
        <w:rPr>
          <w:rFonts w:ascii="仿宋" w:hAnsi="仿宋" w:eastAsia="仿宋" w:cs="Segoe UI"/>
          <w:color w:val="0F1115"/>
          <w:highlight w:val="none"/>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5AE2E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9BDE357">
            <w:pPr>
              <w:tabs>
                <w:tab w:val="left" w:pos="1080"/>
              </w:tabs>
              <w:snapToGrid w:val="0"/>
              <w:jc w:val="center"/>
              <w:rPr>
                <w:rFonts w:ascii="仿宋" w:hAnsi="仿宋" w:eastAsia="仿宋" w:cs="Times New Roman"/>
                <w:b/>
                <w:color w:val="000000"/>
                <w:sz w:val="24"/>
                <w:szCs w:val="24"/>
                <w:highlight w:val="none"/>
              </w:rPr>
            </w:pPr>
            <w:r>
              <w:rPr>
                <w:rFonts w:hint="eastAsia" w:ascii="仿宋" w:hAnsi="仿宋" w:eastAsia="仿宋" w:cs="Times New Roman"/>
                <w:b/>
                <w:color w:val="000000"/>
                <w:sz w:val="24"/>
                <w:szCs w:val="24"/>
                <w:highlight w:val="none"/>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4DD07AE9">
            <w:pPr>
              <w:tabs>
                <w:tab w:val="left" w:pos="1080"/>
              </w:tabs>
              <w:snapToGrid w:val="0"/>
              <w:jc w:val="center"/>
              <w:rPr>
                <w:rFonts w:ascii="仿宋" w:hAnsi="仿宋" w:eastAsia="仿宋" w:cs="Times New Roman"/>
                <w:b/>
                <w:color w:val="000000"/>
                <w:sz w:val="24"/>
                <w:szCs w:val="24"/>
                <w:highlight w:val="none"/>
              </w:rPr>
            </w:pPr>
            <w:r>
              <w:rPr>
                <w:rFonts w:hint="eastAsia" w:ascii="仿宋" w:hAnsi="仿宋" w:eastAsia="仿宋" w:cs="Times New Roman"/>
                <w:b/>
                <w:color w:val="000000"/>
                <w:sz w:val="24"/>
                <w:szCs w:val="24"/>
                <w:highlight w:val="none"/>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2FB7A4D5">
            <w:pPr>
              <w:tabs>
                <w:tab w:val="left" w:pos="1080"/>
              </w:tabs>
              <w:snapToGrid w:val="0"/>
              <w:jc w:val="center"/>
              <w:rPr>
                <w:rFonts w:ascii="仿宋" w:hAnsi="仿宋" w:eastAsia="仿宋" w:cs="Times New Roman"/>
                <w:b/>
                <w:color w:val="000000"/>
                <w:sz w:val="24"/>
                <w:szCs w:val="24"/>
                <w:highlight w:val="none"/>
              </w:rPr>
            </w:pPr>
            <w:r>
              <w:rPr>
                <w:rFonts w:hint="eastAsia" w:ascii="仿宋" w:hAnsi="仿宋" w:eastAsia="仿宋" w:cs="Times New Roman"/>
                <w:b/>
                <w:color w:val="000000"/>
                <w:sz w:val="24"/>
                <w:szCs w:val="24"/>
                <w:highlight w:val="none"/>
              </w:rPr>
              <w:t>检查内容</w:t>
            </w:r>
          </w:p>
        </w:tc>
      </w:tr>
      <w:tr w14:paraId="288FC1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75BE9CA">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7972FB57">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411A34FB">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供应商为企业（包括合伙企业）的，应提供有效的“营业执照”；</w:t>
            </w:r>
          </w:p>
          <w:p w14:paraId="2B5F1C14">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供应商为事业单位的，应提供有效的“事业单位法人证书”；</w:t>
            </w:r>
          </w:p>
          <w:p w14:paraId="281C3F97">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供应商是非企业机构的，应提供有效的“执业许可证”“登记证书”等证明文件；</w:t>
            </w:r>
          </w:p>
          <w:p w14:paraId="76185ACF">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供应商是个体工商户的，应提供有效的“个体工商户营业执照”；</w:t>
            </w:r>
          </w:p>
          <w:p w14:paraId="02FE93F9">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供应商是自然人的，应提供有效的自然人身份证明。</w:t>
            </w:r>
          </w:p>
          <w:p w14:paraId="38FD5D84">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1FA61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9F56C6D">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5722D841">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53712AD">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提供了符合比选文件要求的《比选前承诺书》。</w:t>
            </w:r>
          </w:p>
        </w:tc>
      </w:tr>
      <w:tr w14:paraId="479DF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35FC3CC3">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5CB781D0">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40D5EF16">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提供了符合比选文件要求的《供应商资格声明书》。</w:t>
            </w:r>
          </w:p>
        </w:tc>
      </w:tr>
      <w:tr w14:paraId="56561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4EF4C88">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105C36B1">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74968FD">
            <w:pPr>
              <w:tabs>
                <w:tab w:val="left" w:pos="1080"/>
              </w:tabs>
              <w:snapToGrid w:val="0"/>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1）参加本次比选活动前三年内，在经营活动中无重大违法记录（须提供加盖公章的书面声明）。</w:t>
            </w:r>
          </w:p>
          <w:p w14:paraId="4E12005F">
            <w:pPr>
              <w:tabs>
                <w:tab w:val="left" w:pos="1080"/>
              </w:tabs>
              <w:snapToGrid w:val="0"/>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2）在“信用中国”网站（www.creditchina.gov.cn）未被列入失信被执行人、重大税收违法案件当事人名单及政府采购严重违法失信行为记录名单（须提供公告发布日后查询结果的网页截图并加盖公章）。</w:t>
            </w:r>
          </w:p>
          <w:p w14:paraId="3B01FC6B">
            <w:pPr>
              <w:tabs>
                <w:tab w:val="left" w:pos="1080"/>
              </w:tabs>
              <w:snapToGrid w:val="0"/>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3）在“中国政府采购网”（www.ccgp.gov.cn）未被列入政府采购严重违法失信行为记录名单（处罚期限尚未届满的）（须提供公告发布日后查询结果的网页截图并加盖公章）。</w:t>
            </w:r>
          </w:p>
        </w:tc>
      </w:tr>
      <w:tr w14:paraId="72B48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8F405D8">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6C9704AF">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仿宋"/>
                <w:color w:val="000000"/>
                <w:sz w:val="24"/>
                <w:szCs w:val="24"/>
                <w:highlight w:val="none"/>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0A710664">
            <w:pPr>
              <w:tabs>
                <w:tab w:val="left" w:pos="1080"/>
              </w:tabs>
              <w:snapToGrid w:val="0"/>
              <w:jc w:val="left"/>
              <w:rPr>
                <w:rFonts w:hint="eastAsia" w:ascii="仿宋" w:hAnsi="仿宋" w:eastAsia="仿宋" w:cs="Times New Roman"/>
                <w:color w:val="000000"/>
                <w:sz w:val="24"/>
                <w:szCs w:val="24"/>
                <w:highlight w:val="none"/>
                <w:lang w:eastAsia="zh-CN"/>
              </w:rPr>
            </w:pPr>
            <w:r>
              <w:rPr>
                <w:rFonts w:hint="eastAsia" w:ascii="仿宋" w:hAnsi="仿宋" w:eastAsia="仿宋" w:cs="仿宋"/>
                <w:color w:val="000000"/>
                <w:sz w:val="24"/>
                <w:szCs w:val="24"/>
                <w:highlight w:val="none"/>
                <w:lang w:val="en-US" w:eastAsia="zh-CN"/>
              </w:rPr>
              <w:t>须为已在社会消防技术服务信息系统（119.gov.cn）备案、具备消防设施维护保养检测从业条件的消防技术服务机构，提供备案证明。</w:t>
            </w:r>
          </w:p>
        </w:tc>
      </w:tr>
      <w:tr w14:paraId="7ECEC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350EFA0">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1407D5CD">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71F7026">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近三年至少完成 1 项医院或类似公共建筑消防维保业绩</w:t>
            </w:r>
          </w:p>
        </w:tc>
      </w:tr>
      <w:tr w14:paraId="2E5FA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B211087">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24143255">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49644FD">
            <w:pPr>
              <w:tabs>
                <w:tab w:val="left" w:pos="1080"/>
              </w:tabs>
              <w:snapToGrid w:val="0"/>
              <w:rPr>
                <w:rFonts w:hint="eastAsia" w:ascii="仿宋" w:hAnsi="仿宋" w:eastAsia="仿宋" w:cs="Times New Roman"/>
                <w:color w:val="000000"/>
                <w:sz w:val="24"/>
                <w:szCs w:val="24"/>
                <w:highlight w:val="none"/>
                <w:lang w:eastAsia="zh-CN"/>
              </w:rPr>
            </w:pPr>
            <w:r>
              <w:rPr>
                <w:rFonts w:hint="eastAsia" w:ascii="仿宋" w:hAnsi="仿宋" w:eastAsia="仿宋" w:cs="Times New Roman"/>
                <w:color w:val="000000"/>
                <w:sz w:val="24"/>
                <w:szCs w:val="24"/>
                <w:highlight w:val="none"/>
                <w:lang w:val="en-US" w:eastAsia="zh-CN"/>
              </w:rPr>
              <w:t>拟派维保人员须持有消防设施操作员国家职业资格证书，进场时备查。</w:t>
            </w:r>
          </w:p>
        </w:tc>
      </w:tr>
      <w:tr w14:paraId="4165F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971C622">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5C384972">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088658A">
            <w:pPr>
              <w:tabs>
                <w:tab w:val="left" w:pos="1080"/>
              </w:tabs>
              <w:snapToGrid w:val="0"/>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如有，详见二、</w:t>
            </w:r>
            <w:r>
              <w:rPr>
                <w:rFonts w:hint="eastAsia" w:ascii="仿宋" w:hAnsi="仿宋" w:eastAsia="仿宋" w:cs="Times New Roman"/>
                <w:color w:val="000000"/>
                <w:sz w:val="24"/>
                <w:szCs w:val="24"/>
                <w:highlight w:val="none"/>
                <w:lang w:eastAsia="zh-CN"/>
              </w:rPr>
              <w:t>参选人</w:t>
            </w:r>
            <w:r>
              <w:rPr>
                <w:rFonts w:hint="eastAsia" w:ascii="仿宋" w:hAnsi="仿宋" w:eastAsia="仿宋" w:cs="Times New Roman"/>
                <w:color w:val="000000"/>
                <w:sz w:val="24"/>
                <w:szCs w:val="24"/>
                <w:highlight w:val="none"/>
              </w:rPr>
              <w:t>的资格要求，提供证明文件的电子件或电子证照。</w:t>
            </w:r>
          </w:p>
        </w:tc>
      </w:tr>
      <w:tr w14:paraId="5E892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6CDCA86">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21DBC12F">
            <w:pPr>
              <w:tabs>
                <w:tab w:val="left" w:pos="1080"/>
              </w:tabs>
              <w:snapToGrid w:val="0"/>
              <w:jc w:val="center"/>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0491FC9">
            <w:pPr>
              <w:tabs>
                <w:tab w:val="left" w:pos="1080"/>
              </w:tabs>
              <w:snapToGrid w:val="0"/>
              <w:jc w:val="left"/>
              <w:rPr>
                <w:rFonts w:ascii="仿宋" w:hAnsi="仿宋" w:eastAsia="仿宋" w:cs="Times New Roman"/>
                <w:color w:val="000000"/>
                <w:sz w:val="24"/>
                <w:szCs w:val="24"/>
                <w:highlight w:val="none"/>
              </w:rPr>
            </w:pPr>
            <w:r>
              <w:rPr>
                <w:rFonts w:hint="eastAsia" w:ascii="仿宋" w:hAnsi="仿宋" w:eastAsia="仿宋" w:cs="Times New Roman"/>
                <w:color w:val="000000"/>
                <w:sz w:val="24"/>
                <w:szCs w:val="24"/>
                <w:highlight w:val="none"/>
              </w:rPr>
              <w:t>法律、行政法规规定的其他条件</w:t>
            </w:r>
          </w:p>
        </w:tc>
      </w:tr>
    </w:tbl>
    <w:p w14:paraId="7C9BE303">
      <w:pPr>
        <w:widowControl/>
        <w:shd w:val="clear" w:color="auto" w:fill="FFFFFF"/>
        <w:spacing w:line="520" w:lineRule="exact"/>
        <w:contextualSpacing/>
        <w:rPr>
          <w:rFonts w:ascii="仿宋" w:hAnsi="仿宋" w:eastAsia="仿宋" w:cs="Segoe UI"/>
          <w:b/>
          <w:bCs/>
          <w:sz w:val="32"/>
          <w:szCs w:val="32"/>
          <w:highlight w:val="none"/>
        </w:rPr>
      </w:pPr>
    </w:p>
    <w:p w14:paraId="3AB72E98">
      <w:pPr>
        <w:rPr>
          <w:rFonts w:ascii="仿宋" w:hAnsi="仿宋" w:eastAsia="仿宋" w:cs="Segoe UI"/>
          <w:bCs/>
          <w:color w:val="0F1115"/>
          <w:kern w:val="0"/>
          <w:szCs w:val="21"/>
          <w:highlight w:val="none"/>
        </w:rPr>
      </w:pPr>
      <w:r>
        <w:rPr>
          <w:rFonts w:ascii="仿宋" w:hAnsi="仿宋" w:eastAsia="仿宋" w:cs="Segoe UI"/>
          <w:bCs/>
          <w:color w:val="0F1115"/>
          <w:kern w:val="0"/>
          <w:szCs w:val="21"/>
          <w:highlight w:val="none"/>
        </w:rPr>
        <w:br w:type="page"/>
      </w:r>
    </w:p>
    <w:p w14:paraId="2761190A">
      <w:pPr>
        <w:widowControl/>
        <w:shd w:val="clear" w:color="auto" w:fill="FFFFFF"/>
        <w:spacing w:line="520" w:lineRule="exact"/>
        <w:contextualSpacing/>
        <w:jc w:val="left"/>
        <w:rPr>
          <w:rFonts w:ascii="仿宋" w:hAnsi="仿宋" w:eastAsia="仿宋" w:cs="Segoe UI"/>
          <w:color w:val="0F1115"/>
          <w:kern w:val="0"/>
          <w:szCs w:val="21"/>
          <w:highlight w:val="none"/>
        </w:rPr>
      </w:pPr>
      <w:r>
        <w:rPr>
          <w:rFonts w:ascii="仿宋" w:hAnsi="仿宋" w:eastAsia="仿宋" w:cs="Segoe UI"/>
          <w:bCs/>
          <w:color w:val="0F1115"/>
          <w:kern w:val="0"/>
          <w:szCs w:val="21"/>
          <w:highlight w:val="none"/>
        </w:rPr>
        <w:t>资格性审查总体结论记录表</w:t>
      </w:r>
    </w:p>
    <w:p w14:paraId="12F12BC4">
      <w:pPr>
        <w:widowControl/>
        <w:shd w:val="clear" w:color="auto" w:fill="FFFFFF"/>
        <w:spacing w:line="520" w:lineRule="exact"/>
        <w:contextualSpacing/>
        <w:jc w:val="left"/>
        <w:rPr>
          <w:rFonts w:ascii="仿宋" w:hAnsi="仿宋" w:eastAsia="仿宋" w:cs="Segoe UI"/>
          <w:color w:val="0F1115"/>
          <w:kern w:val="0"/>
          <w:szCs w:val="21"/>
          <w:highlight w:val="none"/>
        </w:rPr>
      </w:pPr>
      <w:r>
        <w:rPr>
          <w:rFonts w:ascii="仿宋" w:hAnsi="仿宋" w:eastAsia="仿宋" w:cs="Segoe UI"/>
          <w:bCs/>
          <w:color w:val="0F1115"/>
          <w:kern w:val="0"/>
          <w:szCs w:val="21"/>
          <w:highlight w:val="none"/>
        </w:rPr>
        <w:t>评审员填写指引：</w:t>
      </w:r>
    </w:p>
    <w:p w14:paraId="2FB6DE2B">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highlight w:val="none"/>
        </w:rPr>
      </w:pPr>
      <w:r>
        <w:rPr>
          <w:rFonts w:ascii="仿宋" w:hAnsi="仿宋" w:eastAsia="仿宋" w:cs="Segoe UI"/>
          <w:color w:val="0F1115"/>
          <w:kern w:val="0"/>
          <w:szCs w:val="21"/>
          <w:highlight w:val="none"/>
        </w:rPr>
        <w:t>请根据上表对每家参选人进行逐项审查，并在评审会议记录中载明各分项结论。</w:t>
      </w:r>
    </w:p>
    <w:p w14:paraId="1BFA7C8C">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highlight w:val="none"/>
        </w:rPr>
      </w:pPr>
      <w:r>
        <w:rPr>
          <w:rFonts w:ascii="仿宋" w:hAnsi="仿宋" w:eastAsia="仿宋" w:cs="Segoe UI"/>
          <w:color w:val="0F1115"/>
          <w:kern w:val="0"/>
          <w:szCs w:val="21"/>
          <w:highlight w:val="none"/>
        </w:rPr>
        <w:t>完成逐项审查后，根据评审原则（有一项不通过则总体不通过），在本表记录总体结论。</w:t>
      </w:r>
    </w:p>
    <w:p w14:paraId="4D272751">
      <w:pPr>
        <w:widowControl/>
        <w:numPr>
          <w:ilvl w:val="0"/>
          <w:numId w:val="1"/>
        </w:numPr>
        <w:shd w:val="clear" w:color="auto" w:fill="FFFFFF"/>
        <w:tabs>
          <w:tab w:val="clear" w:pos="720"/>
        </w:tabs>
        <w:spacing w:line="520" w:lineRule="exact"/>
        <w:ind w:left="0" w:firstLine="0"/>
        <w:contextualSpacing/>
        <w:jc w:val="left"/>
        <w:rPr>
          <w:rFonts w:ascii="仿宋" w:hAnsi="仿宋" w:eastAsia="仿宋" w:cs="Segoe UI"/>
          <w:color w:val="0F1115"/>
          <w:kern w:val="0"/>
          <w:szCs w:val="21"/>
          <w:highlight w:val="none"/>
        </w:rPr>
      </w:pPr>
      <w:r>
        <w:rPr>
          <w:rFonts w:ascii="仿宋" w:hAnsi="仿宋" w:eastAsia="仿宋" w:cs="Segoe UI"/>
          <w:color w:val="0F1115"/>
          <w:kern w:val="0"/>
          <w:szCs w:val="21"/>
          <w:highlight w:val="none"/>
        </w:rPr>
        <w:t>对结论为“不通过”的参选人，必须在“不通过原因说明”栏中，清晰、具体地注明所违反的审查项目序号及事实依据。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6BE2D4F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1F5C2EF">
            <w:pPr>
              <w:widowControl/>
              <w:spacing w:line="520" w:lineRule="exact"/>
              <w:contextualSpacing/>
              <w:jc w:val="left"/>
              <w:rPr>
                <w:rFonts w:ascii="仿宋" w:hAnsi="仿宋" w:eastAsia="仿宋" w:cs="宋体"/>
                <w:bCs/>
                <w:kern w:val="0"/>
                <w:szCs w:val="21"/>
                <w:highlight w:val="none"/>
              </w:rPr>
            </w:pPr>
            <w:r>
              <w:rPr>
                <w:rFonts w:ascii="仿宋" w:hAnsi="仿宋" w:eastAsia="仿宋" w:cs="宋体"/>
                <w:bCs/>
                <w:kern w:val="0"/>
                <w:szCs w:val="21"/>
                <w:highlight w:val="none"/>
              </w:rPr>
              <w:t>序号</w:t>
            </w:r>
          </w:p>
        </w:tc>
        <w:tc>
          <w:tcPr>
            <w:tcW w:w="3828" w:type="dxa"/>
            <w:tcMar>
              <w:top w:w="150" w:type="dxa"/>
              <w:left w:w="240" w:type="dxa"/>
              <w:bottom w:w="150" w:type="dxa"/>
              <w:right w:w="240" w:type="dxa"/>
            </w:tcMar>
            <w:vAlign w:val="center"/>
          </w:tcPr>
          <w:p w14:paraId="32700B75">
            <w:pPr>
              <w:widowControl/>
              <w:spacing w:line="520" w:lineRule="exact"/>
              <w:contextualSpacing/>
              <w:jc w:val="left"/>
              <w:rPr>
                <w:rFonts w:ascii="仿宋" w:hAnsi="仿宋" w:eastAsia="仿宋" w:cs="宋体"/>
                <w:bCs/>
                <w:kern w:val="0"/>
                <w:szCs w:val="21"/>
                <w:highlight w:val="none"/>
              </w:rPr>
            </w:pPr>
            <w:r>
              <w:rPr>
                <w:rFonts w:ascii="仿宋" w:hAnsi="仿宋" w:eastAsia="仿宋" w:cs="宋体"/>
                <w:bCs/>
                <w:kern w:val="0"/>
                <w:szCs w:val="21"/>
                <w:highlight w:val="none"/>
              </w:rPr>
              <w:t>参选人名称</w:t>
            </w:r>
          </w:p>
        </w:tc>
        <w:tc>
          <w:tcPr>
            <w:tcW w:w="1842" w:type="dxa"/>
            <w:tcMar>
              <w:top w:w="150" w:type="dxa"/>
              <w:left w:w="240" w:type="dxa"/>
              <w:bottom w:w="150" w:type="dxa"/>
              <w:right w:w="240" w:type="dxa"/>
            </w:tcMar>
            <w:vAlign w:val="center"/>
          </w:tcPr>
          <w:p w14:paraId="484FFAA8">
            <w:pPr>
              <w:widowControl/>
              <w:spacing w:line="520" w:lineRule="exact"/>
              <w:contextualSpacing/>
              <w:jc w:val="left"/>
              <w:rPr>
                <w:rFonts w:ascii="仿宋" w:hAnsi="仿宋" w:eastAsia="仿宋" w:cs="宋体"/>
                <w:bCs/>
                <w:kern w:val="0"/>
                <w:szCs w:val="21"/>
                <w:highlight w:val="none"/>
              </w:rPr>
            </w:pPr>
            <w:r>
              <w:rPr>
                <w:rFonts w:ascii="仿宋" w:hAnsi="仿宋" w:eastAsia="仿宋" w:cs="宋体"/>
                <w:bCs/>
                <w:kern w:val="0"/>
                <w:szCs w:val="21"/>
                <w:highlight w:val="none"/>
              </w:rPr>
              <w:t>总体审查结论</w:t>
            </w:r>
          </w:p>
        </w:tc>
        <w:tc>
          <w:tcPr>
            <w:tcW w:w="3402" w:type="dxa"/>
            <w:tcMar>
              <w:top w:w="150" w:type="dxa"/>
              <w:left w:w="240" w:type="dxa"/>
              <w:bottom w:w="150" w:type="dxa"/>
              <w:right w:w="240" w:type="dxa"/>
            </w:tcMar>
            <w:vAlign w:val="center"/>
          </w:tcPr>
          <w:p w14:paraId="30CEE8E9">
            <w:pPr>
              <w:widowControl/>
              <w:spacing w:line="520" w:lineRule="exact"/>
              <w:contextualSpacing/>
              <w:jc w:val="left"/>
              <w:rPr>
                <w:rFonts w:ascii="仿宋" w:hAnsi="仿宋" w:eastAsia="仿宋" w:cs="宋体"/>
                <w:bCs/>
                <w:kern w:val="0"/>
                <w:szCs w:val="21"/>
                <w:highlight w:val="none"/>
              </w:rPr>
            </w:pPr>
            <w:r>
              <w:rPr>
                <w:rFonts w:ascii="仿宋" w:hAnsi="仿宋" w:eastAsia="仿宋" w:cs="宋体"/>
                <w:bCs/>
                <w:kern w:val="0"/>
                <w:szCs w:val="21"/>
                <w:highlight w:val="none"/>
              </w:rPr>
              <w:t>不通过原因说明 (仅当结论为“不通过”时填写)</w:t>
            </w:r>
          </w:p>
        </w:tc>
      </w:tr>
      <w:tr w14:paraId="265B74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FA683E4">
            <w:pPr>
              <w:widowControl/>
              <w:spacing w:line="520" w:lineRule="exact"/>
              <w:contextualSpacing/>
              <w:jc w:val="left"/>
              <w:rPr>
                <w:rFonts w:ascii="仿宋" w:hAnsi="仿宋" w:eastAsia="仿宋" w:cs="宋体"/>
                <w:kern w:val="0"/>
                <w:szCs w:val="21"/>
                <w:highlight w:val="none"/>
              </w:rPr>
            </w:pPr>
            <w:r>
              <w:rPr>
                <w:rFonts w:ascii="仿宋" w:hAnsi="仿宋" w:eastAsia="仿宋" w:cs="宋体"/>
                <w:kern w:val="0"/>
                <w:szCs w:val="21"/>
                <w:highlight w:val="none"/>
              </w:rPr>
              <w:t>1</w:t>
            </w:r>
          </w:p>
        </w:tc>
        <w:tc>
          <w:tcPr>
            <w:tcW w:w="3828" w:type="dxa"/>
            <w:tcMar>
              <w:top w:w="150" w:type="dxa"/>
              <w:left w:w="240" w:type="dxa"/>
              <w:bottom w:w="150" w:type="dxa"/>
              <w:right w:w="240" w:type="dxa"/>
            </w:tcMar>
            <w:vAlign w:val="center"/>
          </w:tcPr>
          <w:p w14:paraId="40176814">
            <w:pPr>
              <w:widowControl/>
              <w:spacing w:line="520" w:lineRule="exact"/>
              <w:contextualSpacing/>
              <w:jc w:val="left"/>
              <w:rPr>
                <w:rFonts w:ascii="仿宋" w:hAnsi="仿宋" w:eastAsia="仿宋" w:cs="宋体"/>
                <w:kern w:val="0"/>
                <w:szCs w:val="21"/>
                <w:highlight w:val="none"/>
              </w:rPr>
            </w:pPr>
          </w:p>
        </w:tc>
        <w:tc>
          <w:tcPr>
            <w:tcW w:w="1842" w:type="dxa"/>
            <w:tcMar>
              <w:top w:w="150" w:type="dxa"/>
              <w:left w:w="240" w:type="dxa"/>
              <w:bottom w:w="150" w:type="dxa"/>
              <w:right w:w="240" w:type="dxa"/>
            </w:tcMar>
            <w:vAlign w:val="center"/>
          </w:tcPr>
          <w:p w14:paraId="7F5A841A">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通过 </w:t>
            </w:r>
          </w:p>
          <w:p w14:paraId="7BA636B1">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不通过</w:t>
            </w:r>
          </w:p>
        </w:tc>
        <w:tc>
          <w:tcPr>
            <w:tcW w:w="3402" w:type="dxa"/>
            <w:tcMar>
              <w:top w:w="150" w:type="dxa"/>
              <w:left w:w="240" w:type="dxa"/>
              <w:bottom w:w="150" w:type="dxa"/>
              <w:right w:w="0" w:type="dxa"/>
            </w:tcMar>
            <w:vAlign w:val="center"/>
          </w:tcPr>
          <w:p w14:paraId="437BAF82">
            <w:pPr>
              <w:widowControl/>
              <w:spacing w:line="520" w:lineRule="exact"/>
              <w:contextualSpacing/>
              <w:jc w:val="left"/>
              <w:rPr>
                <w:rFonts w:ascii="仿宋" w:hAnsi="仿宋" w:eastAsia="仿宋" w:cs="宋体"/>
                <w:kern w:val="0"/>
                <w:szCs w:val="21"/>
                <w:highlight w:val="none"/>
              </w:rPr>
            </w:pPr>
          </w:p>
        </w:tc>
      </w:tr>
      <w:tr w14:paraId="214147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1E7224FD">
            <w:pPr>
              <w:widowControl/>
              <w:spacing w:line="520" w:lineRule="exact"/>
              <w:contextualSpacing/>
              <w:jc w:val="left"/>
              <w:rPr>
                <w:rFonts w:ascii="仿宋" w:hAnsi="仿宋" w:eastAsia="仿宋" w:cs="宋体"/>
                <w:kern w:val="0"/>
                <w:szCs w:val="21"/>
                <w:highlight w:val="none"/>
              </w:rPr>
            </w:pPr>
            <w:r>
              <w:rPr>
                <w:rFonts w:ascii="仿宋" w:hAnsi="仿宋" w:eastAsia="仿宋" w:cs="宋体"/>
                <w:kern w:val="0"/>
                <w:szCs w:val="21"/>
                <w:highlight w:val="none"/>
              </w:rPr>
              <w:t>2</w:t>
            </w:r>
          </w:p>
        </w:tc>
        <w:tc>
          <w:tcPr>
            <w:tcW w:w="3828" w:type="dxa"/>
            <w:tcMar>
              <w:top w:w="150" w:type="dxa"/>
              <w:left w:w="240" w:type="dxa"/>
              <w:bottom w:w="150" w:type="dxa"/>
              <w:right w:w="240" w:type="dxa"/>
            </w:tcMar>
            <w:vAlign w:val="center"/>
          </w:tcPr>
          <w:p w14:paraId="1F2782A5">
            <w:pPr>
              <w:widowControl/>
              <w:spacing w:line="520" w:lineRule="exact"/>
              <w:contextualSpacing/>
              <w:jc w:val="left"/>
              <w:rPr>
                <w:rFonts w:ascii="仿宋" w:hAnsi="仿宋" w:eastAsia="仿宋" w:cs="宋体"/>
                <w:kern w:val="0"/>
                <w:szCs w:val="21"/>
                <w:highlight w:val="none"/>
              </w:rPr>
            </w:pPr>
          </w:p>
        </w:tc>
        <w:tc>
          <w:tcPr>
            <w:tcW w:w="1842" w:type="dxa"/>
            <w:tcMar>
              <w:top w:w="150" w:type="dxa"/>
              <w:left w:w="240" w:type="dxa"/>
              <w:bottom w:w="150" w:type="dxa"/>
              <w:right w:w="240" w:type="dxa"/>
            </w:tcMar>
            <w:vAlign w:val="center"/>
          </w:tcPr>
          <w:p w14:paraId="6D495FD8">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通过 </w:t>
            </w:r>
          </w:p>
          <w:p w14:paraId="7A10ED2C">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不通过</w:t>
            </w:r>
          </w:p>
        </w:tc>
        <w:tc>
          <w:tcPr>
            <w:tcW w:w="3402" w:type="dxa"/>
            <w:tcMar>
              <w:top w:w="150" w:type="dxa"/>
              <w:left w:w="240" w:type="dxa"/>
              <w:bottom w:w="150" w:type="dxa"/>
              <w:right w:w="0" w:type="dxa"/>
            </w:tcMar>
            <w:vAlign w:val="center"/>
          </w:tcPr>
          <w:p w14:paraId="585C849A">
            <w:pPr>
              <w:widowControl/>
              <w:spacing w:line="520" w:lineRule="exact"/>
              <w:contextualSpacing/>
              <w:jc w:val="left"/>
              <w:rPr>
                <w:rFonts w:ascii="仿宋" w:hAnsi="仿宋" w:eastAsia="仿宋" w:cs="宋体"/>
                <w:kern w:val="0"/>
                <w:szCs w:val="21"/>
                <w:highlight w:val="none"/>
              </w:rPr>
            </w:pPr>
          </w:p>
        </w:tc>
      </w:tr>
      <w:tr w14:paraId="1E3590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21E3B87">
            <w:pPr>
              <w:widowControl/>
              <w:spacing w:line="520" w:lineRule="exact"/>
              <w:contextualSpacing/>
              <w:jc w:val="left"/>
              <w:rPr>
                <w:rFonts w:ascii="仿宋" w:hAnsi="仿宋" w:eastAsia="仿宋" w:cs="宋体"/>
                <w:kern w:val="0"/>
                <w:szCs w:val="21"/>
                <w:highlight w:val="none"/>
              </w:rPr>
            </w:pPr>
            <w:r>
              <w:rPr>
                <w:rFonts w:ascii="仿宋" w:hAnsi="仿宋" w:eastAsia="仿宋" w:cs="宋体"/>
                <w:kern w:val="0"/>
                <w:szCs w:val="21"/>
                <w:highlight w:val="none"/>
              </w:rPr>
              <w:t>3</w:t>
            </w:r>
          </w:p>
        </w:tc>
        <w:tc>
          <w:tcPr>
            <w:tcW w:w="3828" w:type="dxa"/>
            <w:tcMar>
              <w:top w:w="150" w:type="dxa"/>
              <w:left w:w="240" w:type="dxa"/>
              <w:bottom w:w="150" w:type="dxa"/>
              <w:right w:w="240" w:type="dxa"/>
            </w:tcMar>
            <w:vAlign w:val="center"/>
          </w:tcPr>
          <w:p w14:paraId="4DA4F4BB">
            <w:pPr>
              <w:widowControl/>
              <w:spacing w:line="520" w:lineRule="exact"/>
              <w:contextualSpacing/>
              <w:jc w:val="left"/>
              <w:rPr>
                <w:rFonts w:ascii="仿宋" w:hAnsi="仿宋" w:eastAsia="仿宋" w:cs="宋体"/>
                <w:kern w:val="0"/>
                <w:szCs w:val="21"/>
                <w:highlight w:val="none"/>
              </w:rPr>
            </w:pPr>
          </w:p>
        </w:tc>
        <w:tc>
          <w:tcPr>
            <w:tcW w:w="1842" w:type="dxa"/>
            <w:tcMar>
              <w:top w:w="150" w:type="dxa"/>
              <w:left w:w="240" w:type="dxa"/>
              <w:bottom w:w="150" w:type="dxa"/>
              <w:right w:w="240" w:type="dxa"/>
            </w:tcMar>
            <w:vAlign w:val="center"/>
          </w:tcPr>
          <w:p w14:paraId="7C6580ED">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通过 </w:t>
            </w:r>
          </w:p>
          <w:p w14:paraId="3E9B8F9E">
            <w:pPr>
              <w:widowControl/>
              <w:spacing w:line="520" w:lineRule="exact"/>
              <w:contextualSpacing/>
              <w:jc w:val="left"/>
              <w:rPr>
                <w:rFonts w:ascii="仿宋" w:hAnsi="仿宋" w:eastAsia="仿宋" w:cs="宋体"/>
                <w:kern w:val="0"/>
                <w:szCs w:val="21"/>
                <w:highlight w:val="none"/>
              </w:rPr>
            </w:pPr>
            <w:r>
              <w:rPr>
                <w:rFonts w:ascii="Segoe UI Symbol" w:hAnsi="Segoe UI Symbol" w:eastAsia="仿宋" w:cs="Segoe UI Symbol"/>
                <w:kern w:val="0"/>
                <w:szCs w:val="21"/>
                <w:highlight w:val="none"/>
              </w:rPr>
              <w:t>☐</w:t>
            </w:r>
            <w:r>
              <w:rPr>
                <w:rFonts w:ascii="仿宋" w:hAnsi="仿宋" w:eastAsia="仿宋" w:cs="宋体"/>
                <w:kern w:val="0"/>
                <w:szCs w:val="21"/>
                <w:highlight w:val="none"/>
              </w:rPr>
              <w:t xml:space="preserve"> 不通过</w:t>
            </w:r>
          </w:p>
        </w:tc>
        <w:tc>
          <w:tcPr>
            <w:tcW w:w="3402" w:type="dxa"/>
            <w:tcMar>
              <w:top w:w="150" w:type="dxa"/>
              <w:left w:w="240" w:type="dxa"/>
              <w:bottom w:w="150" w:type="dxa"/>
              <w:right w:w="0" w:type="dxa"/>
            </w:tcMar>
            <w:vAlign w:val="center"/>
          </w:tcPr>
          <w:p w14:paraId="10703823">
            <w:pPr>
              <w:widowControl/>
              <w:spacing w:line="520" w:lineRule="exact"/>
              <w:contextualSpacing/>
              <w:jc w:val="left"/>
              <w:rPr>
                <w:rFonts w:ascii="仿宋" w:hAnsi="仿宋" w:eastAsia="仿宋" w:cs="宋体"/>
                <w:kern w:val="0"/>
                <w:szCs w:val="21"/>
                <w:highlight w:val="none"/>
              </w:rPr>
            </w:pPr>
          </w:p>
        </w:tc>
      </w:tr>
      <w:tr w14:paraId="5317714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B8399BB">
            <w:pPr>
              <w:widowControl/>
              <w:spacing w:line="520" w:lineRule="exact"/>
              <w:contextualSpacing/>
              <w:jc w:val="left"/>
              <w:rPr>
                <w:rFonts w:ascii="仿宋" w:hAnsi="仿宋" w:eastAsia="仿宋" w:cs="宋体"/>
                <w:kern w:val="0"/>
                <w:szCs w:val="21"/>
                <w:highlight w:val="none"/>
              </w:rPr>
            </w:pPr>
            <w:r>
              <w:rPr>
                <w:rFonts w:ascii="仿宋" w:hAnsi="仿宋" w:eastAsia="仿宋" w:cs="宋体"/>
                <w:kern w:val="0"/>
                <w:szCs w:val="21"/>
                <w:highlight w:val="none"/>
              </w:rPr>
              <w:t>…</w:t>
            </w:r>
          </w:p>
        </w:tc>
        <w:tc>
          <w:tcPr>
            <w:tcW w:w="3828" w:type="dxa"/>
            <w:tcMar>
              <w:top w:w="150" w:type="dxa"/>
              <w:left w:w="240" w:type="dxa"/>
              <w:bottom w:w="150" w:type="dxa"/>
              <w:right w:w="240" w:type="dxa"/>
            </w:tcMar>
            <w:vAlign w:val="center"/>
          </w:tcPr>
          <w:p w14:paraId="76C167D6">
            <w:pPr>
              <w:widowControl/>
              <w:spacing w:line="520" w:lineRule="exact"/>
              <w:contextualSpacing/>
              <w:jc w:val="left"/>
              <w:rPr>
                <w:rFonts w:ascii="仿宋" w:hAnsi="仿宋" w:eastAsia="仿宋" w:cs="宋体"/>
                <w:kern w:val="0"/>
                <w:szCs w:val="21"/>
                <w:highlight w:val="none"/>
              </w:rPr>
            </w:pPr>
            <w:r>
              <w:rPr>
                <w:rFonts w:ascii="仿宋" w:hAnsi="仿宋" w:eastAsia="仿宋" w:cs="宋体"/>
                <w:kern w:val="0"/>
                <w:szCs w:val="21"/>
                <w:highlight w:val="none"/>
              </w:rPr>
              <w:t>（可根据实际参选人数添加行）</w:t>
            </w:r>
          </w:p>
        </w:tc>
        <w:tc>
          <w:tcPr>
            <w:tcW w:w="1842" w:type="dxa"/>
            <w:tcMar>
              <w:top w:w="150" w:type="dxa"/>
              <w:left w:w="240" w:type="dxa"/>
              <w:bottom w:w="150" w:type="dxa"/>
              <w:right w:w="240" w:type="dxa"/>
            </w:tcMar>
            <w:vAlign w:val="center"/>
          </w:tcPr>
          <w:p w14:paraId="72767DA1">
            <w:pPr>
              <w:widowControl/>
              <w:spacing w:line="520" w:lineRule="exact"/>
              <w:contextualSpacing/>
              <w:jc w:val="left"/>
              <w:rPr>
                <w:rFonts w:ascii="仿宋" w:hAnsi="仿宋" w:eastAsia="仿宋" w:cs="宋体"/>
                <w:kern w:val="0"/>
                <w:szCs w:val="21"/>
                <w:highlight w:val="none"/>
              </w:rPr>
            </w:pPr>
          </w:p>
        </w:tc>
        <w:tc>
          <w:tcPr>
            <w:tcW w:w="3402" w:type="dxa"/>
            <w:tcMar>
              <w:top w:w="150" w:type="dxa"/>
              <w:left w:w="240" w:type="dxa"/>
              <w:bottom w:w="150" w:type="dxa"/>
              <w:right w:w="0" w:type="dxa"/>
            </w:tcMar>
            <w:vAlign w:val="center"/>
          </w:tcPr>
          <w:p w14:paraId="5D00B57E">
            <w:pPr>
              <w:widowControl/>
              <w:spacing w:line="520" w:lineRule="exact"/>
              <w:contextualSpacing/>
              <w:jc w:val="left"/>
              <w:rPr>
                <w:rFonts w:ascii="仿宋" w:hAnsi="仿宋" w:eastAsia="仿宋" w:cs="Times New Roman"/>
                <w:kern w:val="0"/>
                <w:szCs w:val="21"/>
                <w:highlight w:val="none"/>
              </w:rPr>
            </w:pPr>
          </w:p>
        </w:tc>
      </w:tr>
    </w:tbl>
    <w:p w14:paraId="76E646D2">
      <w:pPr>
        <w:widowControl/>
        <w:shd w:val="clear" w:color="auto" w:fill="FFFFFF"/>
        <w:spacing w:line="520" w:lineRule="exact"/>
        <w:contextualSpacing/>
        <w:jc w:val="left"/>
        <w:rPr>
          <w:rFonts w:ascii="仿宋" w:hAnsi="仿宋" w:eastAsia="仿宋" w:cs="Segoe UI"/>
          <w:color w:val="0F1115"/>
          <w:kern w:val="0"/>
          <w:szCs w:val="21"/>
          <w:highlight w:val="none"/>
        </w:rPr>
      </w:pPr>
      <w:r>
        <w:rPr>
          <w:rFonts w:ascii="仿宋" w:hAnsi="仿宋" w:eastAsia="仿宋" w:cs="Segoe UI"/>
          <w:bCs/>
          <w:color w:val="0F1115"/>
          <w:kern w:val="0"/>
          <w:szCs w:val="21"/>
          <w:highlight w:val="none"/>
        </w:rPr>
        <w:t>评审委员会确认：</w:t>
      </w:r>
      <w:r>
        <w:rPr>
          <w:rFonts w:ascii="仿宋" w:hAnsi="仿宋" w:eastAsia="仿宋" w:cs="Segoe UI"/>
          <w:color w:val="0F1115"/>
          <w:kern w:val="0"/>
          <w:szCs w:val="21"/>
          <w:highlight w:val="none"/>
        </w:rPr>
        <w:br w:type="textWrapping"/>
      </w:r>
      <w:r>
        <w:rPr>
          <w:rFonts w:ascii="仿宋" w:hAnsi="仿宋" w:eastAsia="仿宋" w:cs="Segoe UI"/>
          <w:color w:val="0F1115"/>
          <w:kern w:val="0"/>
          <w:szCs w:val="21"/>
          <w:highlight w:val="none"/>
        </w:rPr>
        <w:t>我们确认，已根据比选文件规定的资格要求，对所有参选人进行了公平、公正的审查，并依据评审原则形成上述总体结论。</w:t>
      </w:r>
    </w:p>
    <w:p w14:paraId="56047E1F">
      <w:pPr>
        <w:widowControl/>
        <w:shd w:val="clear" w:color="auto" w:fill="FFFFFF"/>
        <w:spacing w:line="520" w:lineRule="exact"/>
        <w:contextualSpacing/>
        <w:jc w:val="left"/>
      </w:pPr>
      <w:r>
        <w:rPr>
          <w:rFonts w:ascii="仿宋" w:hAnsi="仿宋" w:eastAsia="仿宋" w:cs="Segoe UI"/>
          <w:color w:val="0F1115"/>
          <w:kern w:val="0"/>
          <w:szCs w:val="21"/>
          <w:highlight w:val="none"/>
        </w:rPr>
        <w:t>评审员（签字）：__________ _______</w:t>
      </w:r>
      <w:bookmarkStart w:id="0" w:name="_GoBack"/>
      <w:bookmarkEnd w:id="0"/>
      <w:r>
        <w:rPr>
          <w:rFonts w:ascii="仿宋" w:hAnsi="仿宋" w:eastAsia="仿宋" w:cs="Segoe UI"/>
          <w:color w:val="0F1115"/>
          <w:kern w:val="0"/>
          <w:szCs w:val="21"/>
          <w:highlight w:val="none"/>
        </w:rPr>
        <w:t>___ __________</w:t>
      </w:r>
      <w:r>
        <w:rPr>
          <w:rFonts w:ascii="仿宋" w:hAnsi="仿宋" w:eastAsia="仿宋" w:cs="Segoe UI"/>
          <w:color w:val="0F1115"/>
          <w:kern w:val="0"/>
          <w:szCs w:val="21"/>
          <w:highlight w:val="none"/>
        </w:rPr>
        <w:br w:type="textWrapping"/>
      </w:r>
      <w:r>
        <w:rPr>
          <w:rFonts w:ascii="仿宋" w:hAnsi="仿宋" w:eastAsia="仿宋" w:cs="Segoe UI"/>
          <w:color w:val="0F1115"/>
          <w:kern w:val="0"/>
          <w:szCs w:val="21"/>
          <w:highlight w:val="none"/>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2E3A89"/>
    <w:rsid w:val="1C2E3A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2026-10-14T08:36:00Z</dcterms:created>
  <dc:creator>Lyn</dc:creator>
  <cp:lastModifiedBy>Lyn</cp:lastModifiedBy>
  <dcterms:modified xsi:type="dcterms:W3CDTF">2026-10-14T08:38:33Z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87428A7BB69E44E48B47A914C5EC5958_11</vt:lpwstr>
  </property>
  <property fmtid="{D5CDD505-2E9C-101B-9397-08002B2CF9AE}" pid="4" name="KSOTemplateDocerSaveRecord">
    <vt:lpwstr>eyJoZGlkIjoiMzI1NTc2YjM3YjBhNGRlYTk3YmY1YzQ4ZGRhMmI5ZWUiLCJ1c2VySWQiOiI0MzA1OTk4ODEifQ==</vt:lpwstr>
  </property>
</Properties>
</file>