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B8559">
      <w:pPr>
        <w:widowControl/>
        <w:shd w:val="clear" w:color="auto" w:fill="FFFFFF"/>
        <w:spacing w:line="520" w:lineRule="exact"/>
        <w:contextualSpacing/>
        <w:jc w:val="left"/>
        <w:rPr>
          <w:rFonts w:ascii="仿宋" w:hAnsi="仿宋" w:eastAsia="仿宋"/>
          <w:b/>
          <w:color w:val="0F1115"/>
          <w:sz w:val="32"/>
          <w:szCs w:val="32"/>
          <w:shd w:val="clear" w:color="auto" w:fill="FFFFFF"/>
        </w:rPr>
      </w:pPr>
      <w:r>
        <w:rPr>
          <w:rFonts w:hint="eastAsia" w:ascii="仿宋" w:hAnsi="仿宋" w:eastAsia="仿宋"/>
          <w:b/>
          <w:color w:val="0F1115"/>
          <w:sz w:val="32"/>
          <w:szCs w:val="32"/>
          <w:shd w:val="clear" w:color="auto" w:fill="FFFFFF"/>
        </w:rPr>
        <w:t>附件五：</w:t>
      </w:r>
      <w:r>
        <w:rPr>
          <w:rFonts w:ascii="仿宋" w:hAnsi="仿宋" w:eastAsia="仿宋"/>
          <w:b/>
          <w:color w:val="0F1115"/>
          <w:sz w:val="32"/>
          <w:szCs w:val="32"/>
          <w:shd w:val="clear" w:color="auto" w:fill="FFFFFF"/>
        </w:rPr>
        <w:t>综合评分表（总分</w:t>
      </w:r>
      <w:r>
        <w:rPr>
          <w:rFonts w:hint="eastAsia" w:ascii="仿宋" w:hAnsi="仿宋" w:eastAsia="仿宋"/>
          <w:b/>
          <w:color w:val="0F1115"/>
          <w:sz w:val="32"/>
          <w:szCs w:val="32"/>
          <w:shd w:val="clear" w:color="auto" w:fill="FFFFFF"/>
        </w:rPr>
        <w:t>1</w:t>
      </w:r>
      <w:r>
        <w:rPr>
          <w:rFonts w:ascii="仿宋" w:hAnsi="仿宋" w:eastAsia="仿宋"/>
          <w:b/>
          <w:color w:val="0F1115"/>
          <w:sz w:val="32"/>
          <w:szCs w:val="32"/>
          <w:shd w:val="clear" w:color="auto" w:fill="FFFFFF"/>
        </w:rPr>
        <w:t>00分）</w:t>
      </w:r>
    </w:p>
    <w:p w14:paraId="1AC79B34">
      <w:pPr>
        <w:widowControl/>
        <w:shd w:val="clear" w:color="auto" w:fill="FFFFFF"/>
        <w:contextualSpacing/>
        <w:jc w:val="left"/>
        <w:rPr>
          <w:rFonts w:ascii="仿宋" w:hAnsi="仿宋" w:eastAsia="仿宋"/>
          <w:color w:val="0F1115"/>
          <w:sz w:val="32"/>
          <w:szCs w:val="32"/>
          <w:shd w:val="clear" w:color="auto" w:fill="FFFFFF"/>
        </w:rPr>
      </w:pPr>
      <w:r>
        <w:rPr>
          <w:rFonts w:ascii="仿宋" w:hAnsi="仿宋" w:eastAsia="仿宋"/>
          <w:color w:val="0F1115"/>
          <w:sz w:val="32"/>
          <w:szCs w:val="32"/>
          <w:shd w:val="clear" w:color="auto" w:fill="FFFFFF"/>
        </w:rPr>
        <w:t>项目名称：</w:t>
      </w:r>
      <w:r>
        <w:rPr>
          <w:rFonts w:hint="eastAsia" w:ascii="仿宋" w:hAnsi="仿宋" w:eastAsia="仿宋"/>
          <w:color w:val="0F1115"/>
          <w:sz w:val="32"/>
          <w:szCs w:val="32"/>
          <w:shd w:val="clear" w:color="auto" w:fill="FFFFFF"/>
        </w:rPr>
        <w:t>北京口腔医院全院网络系统运维服务项目</w:t>
      </w:r>
    </w:p>
    <w:tbl>
      <w:tblPr>
        <w:tblStyle w:val="2"/>
        <w:tblW w:w="5155"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8"/>
        <w:gridCol w:w="1190"/>
        <w:gridCol w:w="5114"/>
        <w:gridCol w:w="902"/>
        <w:gridCol w:w="902"/>
      </w:tblGrid>
      <w:tr w14:paraId="7AD9F3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9" w:hRule="atLeast"/>
          <w:jc w:val="center"/>
        </w:trPr>
        <w:tc>
          <w:tcPr>
            <w:tcW w:w="385" w:type="pct"/>
            <w:vAlign w:val="center"/>
          </w:tcPr>
          <w:p w14:paraId="076DF2B9">
            <w:pPr>
              <w:widowControl/>
              <w:contextualSpacing/>
              <w:jc w:val="center"/>
              <w:rPr>
                <w:rFonts w:ascii="仿宋" w:hAnsi="仿宋" w:eastAsia="仿宋" w:cs="宋体"/>
                <w:bCs/>
                <w:kern w:val="0"/>
                <w:szCs w:val="21"/>
              </w:rPr>
            </w:pPr>
            <w:r>
              <w:rPr>
                <w:rFonts w:ascii="仿宋" w:hAnsi="仿宋" w:eastAsia="仿宋" w:cs="宋体"/>
                <w:bCs/>
                <w:kern w:val="0"/>
                <w:szCs w:val="21"/>
              </w:rPr>
              <w:t>序号</w:t>
            </w:r>
          </w:p>
        </w:tc>
        <w:tc>
          <w:tcPr>
            <w:tcW w:w="677" w:type="pct"/>
            <w:vAlign w:val="center"/>
          </w:tcPr>
          <w:p w14:paraId="200560E0">
            <w:pPr>
              <w:widowControl/>
              <w:contextualSpacing/>
              <w:jc w:val="center"/>
              <w:rPr>
                <w:rFonts w:ascii="仿宋" w:hAnsi="仿宋" w:eastAsia="仿宋" w:cs="宋体"/>
                <w:bCs/>
                <w:kern w:val="0"/>
                <w:szCs w:val="21"/>
              </w:rPr>
            </w:pPr>
            <w:r>
              <w:rPr>
                <w:rFonts w:ascii="仿宋" w:hAnsi="仿宋" w:eastAsia="仿宋" w:cs="宋体"/>
                <w:bCs/>
                <w:kern w:val="0"/>
                <w:szCs w:val="21"/>
              </w:rPr>
              <w:t>评分因素</w:t>
            </w:r>
          </w:p>
        </w:tc>
        <w:tc>
          <w:tcPr>
            <w:tcW w:w="2910" w:type="pct"/>
            <w:vAlign w:val="center"/>
          </w:tcPr>
          <w:p w14:paraId="096237A9">
            <w:pPr>
              <w:widowControl/>
              <w:contextualSpacing/>
              <w:jc w:val="center"/>
              <w:rPr>
                <w:rFonts w:ascii="仿宋" w:hAnsi="仿宋" w:eastAsia="仿宋" w:cs="宋体"/>
                <w:bCs/>
                <w:kern w:val="0"/>
                <w:szCs w:val="21"/>
              </w:rPr>
            </w:pPr>
            <w:r>
              <w:rPr>
                <w:rFonts w:ascii="仿宋" w:hAnsi="仿宋" w:eastAsia="仿宋" w:cs="宋体"/>
                <w:bCs/>
                <w:kern w:val="0"/>
                <w:szCs w:val="21"/>
              </w:rPr>
              <w:t>评分标准</w:t>
            </w:r>
          </w:p>
        </w:tc>
        <w:tc>
          <w:tcPr>
            <w:tcW w:w="513" w:type="pct"/>
            <w:vAlign w:val="center"/>
          </w:tcPr>
          <w:p w14:paraId="17FE1069">
            <w:pPr>
              <w:widowControl/>
              <w:contextualSpacing/>
              <w:jc w:val="center"/>
              <w:rPr>
                <w:rFonts w:ascii="仿宋" w:hAnsi="仿宋" w:eastAsia="仿宋" w:cs="宋体"/>
                <w:bCs/>
                <w:kern w:val="0"/>
                <w:szCs w:val="21"/>
              </w:rPr>
            </w:pPr>
            <w:r>
              <w:rPr>
                <w:rFonts w:ascii="仿宋" w:hAnsi="仿宋" w:eastAsia="仿宋" w:cs="宋体"/>
                <w:bCs/>
                <w:kern w:val="0"/>
                <w:szCs w:val="21"/>
              </w:rPr>
              <w:t>分值</w:t>
            </w:r>
          </w:p>
        </w:tc>
        <w:tc>
          <w:tcPr>
            <w:tcW w:w="513" w:type="pct"/>
            <w:vAlign w:val="center"/>
          </w:tcPr>
          <w:p w14:paraId="0045A6C4">
            <w:pPr>
              <w:widowControl/>
              <w:contextualSpacing/>
              <w:jc w:val="center"/>
              <w:rPr>
                <w:rFonts w:ascii="仿宋" w:hAnsi="仿宋" w:eastAsia="仿宋" w:cs="宋体"/>
                <w:bCs/>
                <w:kern w:val="0"/>
                <w:szCs w:val="21"/>
              </w:rPr>
            </w:pPr>
            <w:r>
              <w:rPr>
                <w:rFonts w:ascii="仿宋" w:hAnsi="仿宋" w:eastAsia="仿宋" w:cs="宋体"/>
                <w:bCs/>
                <w:kern w:val="0"/>
                <w:szCs w:val="21"/>
              </w:rPr>
              <w:t>分值属性</w:t>
            </w:r>
          </w:p>
        </w:tc>
      </w:tr>
      <w:tr w14:paraId="1A1218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385" w:type="pct"/>
            <w:vAlign w:val="center"/>
          </w:tcPr>
          <w:p w14:paraId="0562E6C2">
            <w:pPr>
              <w:widowControl/>
              <w:contextualSpacing/>
              <w:jc w:val="center"/>
              <w:rPr>
                <w:rFonts w:ascii="仿宋" w:hAnsi="仿宋" w:eastAsia="仿宋" w:cs="宋体"/>
                <w:bCs/>
                <w:kern w:val="0"/>
                <w:szCs w:val="21"/>
              </w:rPr>
            </w:pPr>
            <w:r>
              <w:rPr>
                <w:rFonts w:hint="eastAsia" w:ascii="仿宋" w:hAnsi="仿宋" w:eastAsia="仿宋" w:cs="宋体"/>
                <w:bCs/>
                <w:kern w:val="0"/>
                <w:szCs w:val="21"/>
              </w:rPr>
              <w:t>1</w:t>
            </w:r>
          </w:p>
        </w:tc>
        <w:tc>
          <w:tcPr>
            <w:tcW w:w="677" w:type="pct"/>
            <w:vAlign w:val="center"/>
          </w:tcPr>
          <w:p w14:paraId="3E3B444B">
            <w:pPr>
              <w:widowControl/>
              <w:contextualSpacing/>
              <w:jc w:val="center"/>
              <w:rPr>
                <w:rFonts w:ascii="仿宋" w:hAnsi="仿宋" w:eastAsia="仿宋" w:cs="宋体"/>
                <w:bCs/>
                <w:kern w:val="0"/>
                <w:szCs w:val="21"/>
              </w:rPr>
            </w:pPr>
            <w:r>
              <w:rPr>
                <w:rFonts w:ascii="仿宋" w:hAnsi="仿宋" w:eastAsia="仿宋" w:cs="宋体"/>
                <w:bCs/>
                <w:kern w:val="0"/>
                <w:szCs w:val="21"/>
              </w:rPr>
              <w:t>投标报价</w:t>
            </w:r>
          </w:p>
        </w:tc>
        <w:tc>
          <w:tcPr>
            <w:tcW w:w="2910" w:type="pct"/>
            <w:vAlign w:val="center"/>
          </w:tcPr>
          <w:p w14:paraId="02B7C458">
            <w:pPr>
              <w:widowControl/>
              <w:contextualSpacing/>
              <w:jc w:val="center"/>
              <w:rPr>
                <w:rFonts w:ascii="仿宋" w:hAnsi="仿宋" w:eastAsia="仿宋" w:cs="宋体"/>
                <w:bCs/>
                <w:kern w:val="0"/>
                <w:szCs w:val="21"/>
              </w:rPr>
            </w:pPr>
            <w:r>
              <w:rPr>
                <w:rFonts w:ascii="仿宋" w:hAnsi="仿宋" w:eastAsia="仿宋" w:cs="宋体"/>
                <w:bCs/>
                <w:kern w:val="0"/>
                <w:szCs w:val="21"/>
              </w:rPr>
              <w:t>满足招标文件要求且投标价格</w:t>
            </w:r>
            <w:r>
              <w:rPr>
                <w:rFonts w:hint="eastAsia" w:ascii="仿宋" w:hAnsi="仿宋" w:eastAsia="仿宋" w:cs="宋体"/>
                <w:bCs/>
                <w:kern w:val="0"/>
                <w:szCs w:val="21"/>
                <w:lang w:val="en-US" w:eastAsia="zh-CN"/>
              </w:rPr>
              <w:t>的最低报价</w:t>
            </w:r>
            <w:r>
              <w:rPr>
                <w:rFonts w:ascii="仿宋" w:hAnsi="仿宋" w:eastAsia="仿宋" w:cs="宋体"/>
                <w:bCs/>
                <w:kern w:val="0"/>
                <w:szCs w:val="21"/>
              </w:rPr>
              <w:t>为评标基准价。其他投标人的价格分统一按照下列公式计算：</w:t>
            </w:r>
          </w:p>
          <w:p w14:paraId="5EF4284D">
            <w:pPr>
              <w:widowControl/>
              <w:contextualSpacing/>
              <w:jc w:val="center"/>
              <w:rPr>
                <w:rFonts w:ascii="仿宋" w:hAnsi="仿宋" w:eastAsia="仿宋" w:cs="宋体"/>
                <w:bCs/>
                <w:kern w:val="0"/>
                <w:szCs w:val="21"/>
              </w:rPr>
            </w:pPr>
            <w:r>
              <w:rPr>
                <w:rFonts w:ascii="仿宋" w:hAnsi="仿宋" w:eastAsia="仿宋" w:cs="宋体"/>
                <w:bCs/>
                <w:kern w:val="0"/>
                <w:szCs w:val="21"/>
              </w:rPr>
              <w:t>投标报价得分＝（评标基准价/投标报价）×</w:t>
            </w:r>
            <w:r>
              <w:rPr>
                <w:rFonts w:hint="eastAsia" w:ascii="仿宋" w:hAnsi="仿宋" w:eastAsia="仿宋" w:cs="宋体"/>
                <w:bCs/>
                <w:kern w:val="0"/>
                <w:szCs w:val="21"/>
                <w:lang w:val="en-US" w:eastAsia="zh-CN"/>
              </w:rPr>
              <w:t>15</w:t>
            </w:r>
            <w:r>
              <w:rPr>
                <w:rFonts w:ascii="仿宋" w:hAnsi="仿宋" w:eastAsia="仿宋" w:cs="宋体"/>
                <w:bCs/>
                <w:kern w:val="0"/>
                <w:szCs w:val="21"/>
              </w:rPr>
              <w:t>。</w:t>
            </w:r>
          </w:p>
        </w:tc>
        <w:tc>
          <w:tcPr>
            <w:tcW w:w="513" w:type="pct"/>
            <w:vAlign w:val="center"/>
          </w:tcPr>
          <w:p w14:paraId="57BB04FD">
            <w:pPr>
              <w:widowControl/>
              <w:contextualSpacing/>
              <w:jc w:val="center"/>
              <w:rPr>
                <w:rFonts w:ascii="仿宋" w:hAnsi="仿宋" w:eastAsia="仿宋" w:cs="宋体"/>
                <w:bCs/>
                <w:kern w:val="0"/>
                <w:szCs w:val="21"/>
              </w:rPr>
            </w:pPr>
            <w:r>
              <w:rPr>
                <w:rFonts w:hint="eastAsia" w:ascii="仿宋" w:hAnsi="仿宋" w:eastAsia="仿宋" w:cs="宋体"/>
                <w:bCs/>
                <w:kern w:val="0"/>
                <w:szCs w:val="21"/>
              </w:rPr>
              <w:t>15</w:t>
            </w:r>
          </w:p>
        </w:tc>
        <w:tc>
          <w:tcPr>
            <w:tcW w:w="513" w:type="pct"/>
            <w:vAlign w:val="center"/>
          </w:tcPr>
          <w:p w14:paraId="546105F9">
            <w:pPr>
              <w:widowControl/>
              <w:contextualSpacing/>
              <w:jc w:val="center"/>
              <w:rPr>
                <w:rFonts w:hint="eastAsia" w:ascii="仿宋" w:hAnsi="仿宋" w:eastAsia="仿宋" w:cs="宋体"/>
                <w:bCs/>
                <w:kern w:val="0"/>
                <w:szCs w:val="21"/>
              </w:rPr>
            </w:pPr>
          </w:p>
        </w:tc>
      </w:tr>
      <w:tr w14:paraId="59B30E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 w:hRule="atLeast"/>
          <w:jc w:val="center"/>
        </w:trPr>
        <w:tc>
          <w:tcPr>
            <w:tcW w:w="385" w:type="pct"/>
            <w:vAlign w:val="center"/>
          </w:tcPr>
          <w:p w14:paraId="77BDB6BE">
            <w:pPr>
              <w:widowControl/>
              <w:contextualSpacing/>
              <w:jc w:val="center"/>
              <w:rPr>
                <w:rFonts w:ascii="仿宋" w:hAnsi="仿宋" w:eastAsia="仿宋" w:cs="宋体"/>
                <w:bCs/>
                <w:kern w:val="0"/>
                <w:szCs w:val="21"/>
              </w:rPr>
            </w:pPr>
            <w:r>
              <w:rPr>
                <w:rFonts w:hint="eastAsia" w:ascii="仿宋" w:hAnsi="仿宋" w:eastAsia="仿宋" w:cs="宋体"/>
                <w:bCs/>
                <w:kern w:val="0"/>
                <w:szCs w:val="21"/>
              </w:rPr>
              <w:t>2</w:t>
            </w:r>
          </w:p>
        </w:tc>
        <w:tc>
          <w:tcPr>
            <w:tcW w:w="677" w:type="pct"/>
            <w:vAlign w:val="center"/>
          </w:tcPr>
          <w:p w14:paraId="4418973A">
            <w:pPr>
              <w:widowControl/>
              <w:contextualSpacing/>
              <w:jc w:val="center"/>
              <w:rPr>
                <w:rFonts w:ascii="仿宋" w:hAnsi="仿宋" w:eastAsia="仿宋" w:cs="宋体"/>
                <w:bCs/>
                <w:kern w:val="0"/>
                <w:szCs w:val="21"/>
              </w:rPr>
            </w:pPr>
            <w:r>
              <w:rPr>
                <w:rFonts w:hint="eastAsia" w:ascii="仿宋" w:hAnsi="仿宋" w:eastAsia="仿宋" w:cs="宋体"/>
                <w:bCs/>
                <w:kern w:val="0"/>
                <w:szCs w:val="21"/>
              </w:rPr>
              <w:t>投标人证书</w:t>
            </w:r>
          </w:p>
        </w:tc>
        <w:tc>
          <w:tcPr>
            <w:tcW w:w="2910" w:type="pct"/>
            <w:vAlign w:val="center"/>
          </w:tcPr>
          <w:p w14:paraId="7E6E5DD0">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投标人能够同时具有有效的ISO9001质量管理体系认证证书、ISO20000信息技术服务管理体系认证证书和ISO27001信息安全管理体系认证证书，得6分；提供不全或者没有提供的不得分；</w:t>
            </w:r>
          </w:p>
          <w:p w14:paraId="6B11FB48">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注：须提供证书复印件，同时提供国家市场监督管理总局或中国合格评定国家认可委员会认可官网的证书查询结果网页截图，否则不得分。</w:t>
            </w:r>
          </w:p>
        </w:tc>
        <w:tc>
          <w:tcPr>
            <w:tcW w:w="513" w:type="pct"/>
            <w:vAlign w:val="center"/>
          </w:tcPr>
          <w:p w14:paraId="2BE1E9C6">
            <w:pPr>
              <w:widowControl/>
              <w:contextualSpacing/>
              <w:jc w:val="center"/>
              <w:rPr>
                <w:rFonts w:ascii="仿宋" w:hAnsi="仿宋" w:eastAsia="仿宋" w:cs="宋体"/>
                <w:bCs/>
                <w:kern w:val="0"/>
                <w:szCs w:val="21"/>
              </w:rPr>
            </w:pPr>
            <w:r>
              <w:rPr>
                <w:rFonts w:hint="eastAsia" w:ascii="仿宋" w:hAnsi="仿宋" w:eastAsia="仿宋" w:cs="宋体"/>
                <w:bCs/>
                <w:kern w:val="0"/>
                <w:szCs w:val="21"/>
              </w:rPr>
              <w:t>6</w:t>
            </w:r>
          </w:p>
        </w:tc>
        <w:tc>
          <w:tcPr>
            <w:tcW w:w="513" w:type="pct"/>
            <w:vAlign w:val="center"/>
          </w:tcPr>
          <w:p w14:paraId="2A2271DA">
            <w:pPr>
              <w:widowControl/>
              <w:contextualSpacing/>
              <w:jc w:val="center"/>
              <w:rPr>
                <w:rFonts w:hint="eastAsia" w:ascii="仿宋" w:hAnsi="仿宋" w:eastAsia="仿宋" w:cs="宋体"/>
                <w:bCs/>
                <w:kern w:val="0"/>
                <w:szCs w:val="21"/>
              </w:rPr>
            </w:pPr>
          </w:p>
        </w:tc>
      </w:tr>
      <w:tr w14:paraId="425578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 w:hRule="atLeast"/>
          <w:jc w:val="center"/>
        </w:trPr>
        <w:tc>
          <w:tcPr>
            <w:tcW w:w="385" w:type="pct"/>
            <w:vAlign w:val="center"/>
          </w:tcPr>
          <w:p w14:paraId="5DCB18B8">
            <w:pPr>
              <w:widowControl/>
              <w:contextualSpacing/>
              <w:jc w:val="center"/>
              <w:rPr>
                <w:rFonts w:ascii="仿宋" w:hAnsi="仿宋" w:eastAsia="仿宋" w:cs="宋体"/>
                <w:bCs/>
                <w:kern w:val="0"/>
                <w:szCs w:val="21"/>
              </w:rPr>
            </w:pPr>
            <w:r>
              <w:rPr>
                <w:rFonts w:hint="eastAsia" w:ascii="仿宋" w:hAnsi="仿宋" w:eastAsia="仿宋" w:cs="宋体"/>
                <w:bCs/>
                <w:kern w:val="0"/>
                <w:szCs w:val="21"/>
              </w:rPr>
              <w:t>3</w:t>
            </w:r>
          </w:p>
        </w:tc>
        <w:tc>
          <w:tcPr>
            <w:tcW w:w="677" w:type="pct"/>
            <w:vAlign w:val="center"/>
          </w:tcPr>
          <w:p w14:paraId="53803A1D">
            <w:pPr>
              <w:widowControl/>
              <w:contextualSpacing/>
              <w:jc w:val="center"/>
              <w:rPr>
                <w:rFonts w:ascii="仿宋" w:hAnsi="仿宋" w:eastAsia="仿宋" w:cs="宋体"/>
                <w:bCs/>
                <w:kern w:val="0"/>
                <w:szCs w:val="21"/>
              </w:rPr>
            </w:pPr>
            <w:r>
              <w:rPr>
                <w:rFonts w:hint="eastAsia" w:ascii="仿宋" w:hAnsi="仿宋" w:eastAsia="仿宋" w:cs="宋体"/>
                <w:bCs/>
                <w:kern w:val="0"/>
                <w:szCs w:val="21"/>
              </w:rPr>
              <w:t>同类项目实施案例</w:t>
            </w:r>
          </w:p>
        </w:tc>
        <w:tc>
          <w:tcPr>
            <w:tcW w:w="2910" w:type="pct"/>
            <w:vAlign w:val="center"/>
          </w:tcPr>
          <w:p w14:paraId="79423A41">
            <w:pPr>
              <w:widowControl/>
              <w:contextualSpacing/>
              <w:jc w:val="center"/>
              <w:rPr>
                <w:rFonts w:ascii="仿宋" w:hAnsi="仿宋" w:eastAsia="仿宋" w:cs="宋体"/>
                <w:bCs/>
                <w:kern w:val="0"/>
                <w:szCs w:val="21"/>
              </w:rPr>
            </w:pPr>
            <w:r>
              <w:rPr>
                <w:rFonts w:ascii="仿宋" w:hAnsi="仿宋" w:eastAsia="仿宋" w:cs="宋体"/>
                <w:bCs/>
                <w:kern w:val="0"/>
                <w:szCs w:val="21"/>
              </w:rPr>
              <w:t>投标人</w:t>
            </w:r>
            <w:r>
              <w:rPr>
                <w:rFonts w:hint="eastAsia" w:ascii="仿宋" w:hAnsi="仿宋" w:eastAsia="仿宋" w:cs="宋体"/>
                <w:bCs/>
                <w:kern w:val="0"/>
                <w:szCs w:val="21"/>
              </w:rPr>
              <w:t>需提供2023年1月1日至今同类项目实施案例。每提供1个有效业绩得2分，以此类推，满分为</w:t>
            </w:r>
            <w:r>
              <w:rPr>
                <w:rFonts w:ascii="仿宋" w:hAnsi="仿宋" w:eastAsia="仿宋" w:cs="宋体"/>
                <w:bCs/>
                <w:kern w:val="0"/>
                <w:szCs w:val="21"/>
              </w:rPr>
              <w:t>1</w:t>
            </w:r>
            <w:r>
              <w:rPr>
                <w:rFonts w:hint="eastAsia" w:ascii="仿宋" w:hAnsi="仿宋" w:eastAsia="仿宋" w:cs="宋体"/>
                <w:bCs/>
                <w:kern w:val="0"/>
                <w:szCs w:val="21"/>
              </w:rPr>
              <w:t>0分。</w:t>
            </w:r>
          </w:p>
          <w:p w14:paraId="7CC1DA01">
            <w:pPr>
              <w:widowControl/>
              <w:contextualSpacing/>
              <w:jc w:val="center"/>
              <w:rPr>
                <w:rFonts w:ascii="仿宋" w:hAnsi="仿宋" w:eastAsia="仿宋" w:cs="宋体"/>
                <w:bCs/>
                <w:kern w:val="0"/>
                <w:szCs w:val="21"/>
              </w:rPr>
            </w:pPr>
            <w:r>
              <w:rPr>
                <w:rFonts w:hint="eastAsia" w:ascii="仿宋" w:hAnsi="仿宋" w:eastAsia="仿宋" w:cs="宋体"/>
                <w:bCs/>
                <w:kern w:val="0"/>
                <w:szCs w:val="21"/>
              </w:rPr>
              <w:t>注：需附合同关键页复印件（包括合同首页、主要服务内容页和双方签字盖章页），未按规定提供合同复印件的不得分。</w:t>
            </w:r>
          </w:p>
        </w:tc>
        <w:tc>
          <w:tcPr>
            <w:tcW w:w="513" w:type="pct"/>
            <w:vAlign w:val="center"/>
          </w:tcPr>
          <w:p w14:paraId="33D54516">
            <w:pPr>
              <w:widowControl/>
              <w:contextualSpacing/>
              <w:jc w:val="center"/>
              <w:rPr>
                <w:rFonts w:ascii="仿宋" w:hAnsi="仿宋" w:eastAsia="仿宋" w:cs="宋体"/>
                <w:bCs/>
                <w:kern w:val="0"/>
                <w:szCs w:val="21"/>
              </w:rPr>
            </w:pPr>
            <w:r>
              <w:rPr>
                <w:rFonts w:ascii="仿宋" w:hAnsi="仿宋" w:eastAsia="仿宋" w:cs="宋体"/>
                <w:bCs/>
                <w:kern w:val="0"/>
                <w:szCs w:val="21"/>
              </w:rPr>
              <w:t>1</w:t>
            </w:r>
            <w:r>
              <w:rPr>
                <w:rFonts w:hint="eastAsia" w:ascii="仿宋" w:hAnsi="仿宋" w:eastAsia="仿宋" w:cs="宋体"/>
                <w:bCs/>
                <w:kern w:val="0"/>
                <w:szCs w:val="21"/>
              </w:rPr>
              <w:t>0</w:t>
            </w:r>
          </w:p>
        </w:tc>
        <w:tc>
          <w:tcPr>
            <w:tcW w:w="513" w:type="pct"/>
            <w:vAlign w:val="center"/>
          </w:tcPr>
          <w:p w14:paraId="40EF3123">
            <w:pPr>
              <w:widowControl/>
              <w:contextualSpacing/>
              <w:jc w:val="center"/>
              <w:rPr>
                <w:rFonts w:ascii="仿宋" w:hAnsi="仿宋" w:eastAsia="仿宋" w:cs="宋体"/>
                <w:bCs/>
                <w:kern w:val="0"/>
                <w:szCs w:val="21"/>
              </w:rPr>
            </w:pPr>
          </w:p>
        </w:tc>
      </w:tr>
      <w:tr w14:paraId="298B18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 w:hRule="atLeast"/>
          <w:jc w:val="center"/>
        </w:trPr>
        <w:tc>
          <w:tcPr>
            <w:tcW w:w="385" w:type="pct"/>
            <w:vAlign w:val="center"/>
          </w:tcPr>
          <w:p w14:paraId="74687804">
            <w:pPr>
              <w:widowControl/>
              <w:contextualSpacing/>
              <w:jc w:val="center"/>
              <w:rPr>
                <w:rFonts w:ascii="仿宋" w:hAnsi="仿宋" w:eastAsia="仿宋" w:cs="宋体"/>
                <w:bCs/>
                <w:kern w:val="0"/>
                <w:szCs w:val="21"/>
              </w:rPr>
            </w:pPr>
            <w:r>
              <w:rPr>
                <w:rFonts w:hint="eastAsia" w:ascii="仿宋" w:hAnsi="仿宋" w:eastAsia="仿宋" w:cs="宋体"/>
                <w:bCs/>
                <w:kern w:val="0"/>
                <w:szCs w:val="21"/>
              </w:rPr>
              <w:t>4</w:t>
            </w:r>
          </w:p>
        </w:tc>
        <w:tc>
          <w:tcPr>
            <w:tcW w:w="677" w:type="pct"/>
            <w:vAlign w:val="center"/>
          </w:tcPr>
          <w:p w14:paraId="66D1339A">
            <w:pPr>
              <w:widowControl/>
              <w:contextualSpacing/>
              <w:jc w:val="center"/>
              <w:rPr>
                <w:rFonts w:ascii="仿宋" w:hAnsi="仿宋" w:eastAsia="仿宋" w:cs="宋体"/>
                <w:bCs/>
                <w:kern w:val="0"/>
                <w:szCs w:val="21"/>
              </w:rPr>
            </w:pPr>
            <w:r>
              <w:rPr>
                <w:rFonts w:ascii="仿宋" w:hAnsi="仿宋" w:eastAsia="仿宋" w:cs="宋体"/>
                <w:bCs/>
                <w:kern w:val="0"/>
                <w:szCs w:val="21"/>
              </w:rPr>
              <w:t>项目分析</w:t>
            </w:r>
          </w:p>
        </w:tc>
        <w:tc>
          <w:tcPr>
            <w:tcW w:w="2910" w:type="pct"/>
            <w:vAlign w:val="center"/>
          </w:tcPr>
          <w:p w14:paraId="02B5886B">
            <w:pPr>
              <w:widowControl/>
              <w:contextualSpacing/>
              <w:jc w:val="center"/>
              <w:rPr>
                <w:rFonts w:ascii="仿宋" w:hAnsi="仿宋" w:eastAsia="仿宋" w:cs="宋体"/>
                <w:bCs/>
                <w:kern w:val="0"/>
                <w:szCs w:val="21"/>
              </w:rPr>
            </w:pPr>
            <w:r>
              <w:rPr>
                <w:rFonts w:hint="eastAsia" w:ascii="仿宋" w:hAnsi="仿宋" w:eastAsia="仿宋" w:cs="宋体"/>
                <w:bCs/>
                <w:kern w:val="0"/>
                <w:szCs w:val="21"/>
              </w:rPr>
              <w:t>综合考虑投标人针对采购需求所提供的项目理解分析。</w:t>
            </w:r>
          </w:p>
          <w:p w14:paraId="093F32D0">
            <w:pPr>
              <w:widowControl/>
              <w:contextualSpacing/>
              <w:jc w:val="center"/>
              <w:rPr>
                <w:rFonts w:ascii="仿宋" w:hAnsi="仿宋" w:eastAsia="仿宋" w:cs="宋体"/>
                <w:bCs/>
                <w:kern w:val="0"/>
                <w:szCs w:val="21"/>
              </w:rPr>
            </w:pPr>
            <w:r>
              <w:rPr>
                <w:rFonts w:ascii="仿宋" w:hAnsi="仿宋" w:eastAsia="仿宋" w:cs="宋体"/>
                <w:bCs/>
                <w:kern w:val="0"/>
                <w:szCs w:val="21"/>
              </w:rPr>
              <w:t>项目需求分析全面深入，对项目需求的理解认识透彻，项目重难点把控精准到位，提出的解决方案或应答内容针对性极强，完全契合采购需求的核心要求</w:t>
            </w:r>
            <w:r>
              <w:rPr>
                <w:rFonts w:hint="eastAsia" w:ascii="仿宋" w:hAnsi="仿宋" w:eastAsia="仿宋" w:cs="宋体"/>
                <w:bCs/>
                <w:kern w:val="0"/>
                <w:szCs w:val="21"/>
              </w:rPr>
              <w:t>，得15分。</w:t>
            </w:r>
          </w:p>
          <w:p w14:paraId="588D030C">
            <w:pPr>
              <w:widowControl/>
              <w:contextualSpacing/>
              <w:jc w:val="center"/>
              <w:rPr>
                <w:rFonts w:ascii="仿宋" w:hAnsi="仿宋" w:eastAsia="仿宋" w:cs="宋体"/>
                <w:bCs/>
                <w:kern w:val="0"/>
                <w:szCs w:val="21"/>
              </w:rPr>
            </w:pPr>
            <w:r>
              <w:rPr>
                <w:rFonts w:ascii="仿宋" w:hAnsi="仿宋" w:eastAsia="仿宋" w:cs="宋体"/>
                <w:bCs/>
                <w:kern w:val="0"/>
                <w:szCs w:val="21"/>
              </w:rPr>
              <w:t>项目需求分析较为全面，对此类项目需求的理解认识较为深刻，项目重难点把握基本准确，提出的解决方案或应答内容针对性较好，能够满足采购需求的主要要求</w:t>
            </w:r>
            <w:r>
              <w:rPr>
                <w:rFonts w:hint="eastAsia" w:ascii="仿宋" w:hAnsi="仿宋" w:eastAsia="仿宋" w:cs="宋体"/>
                <w:bCs/>
                <w:kern w:val="0"/>
                <w:szCs w:val="21"/>
              </w:rPr>
              <w:t>，得8分。</w:t>
            </w:r>
          </w:p>
          <w:p w14:paraId="34BAB7A5">
            <w:pPr>
              <w:widowControl/>
              <w:contextualSpacing/>
              <w:jc w:val="center"/>
              <w:rPr>
                <w:rFonts w:ascii="仿宋" w:hAnsi="仿宋" w:eastAsia="仿宋" w:cs="宋体"/>
                <w:bCs/>
                <w:kern w:val="0"/>
                <w:szCs w:val="21"/>
              </w:rPr>
            </w:pPr>
            <w:r>
              <w:rPr>
                <w:rFonts w:ascii="仿宋" w:hAnsi="仿宋" w:eastAsia="仿宋" w:cs="宋体"/>
                <w:bCs/>
                <w:kern w:val="0"/>
                <w:szCs w:val="21"/>
              </w:rPr>
              <w:t>项目需求分析有一定清晰度，对此类项目需求的理解认识存在一定基础，项目重难点把握存在部分偏差但整体可控，提出的解决方案或应答内容针对性一般，基本覆盖采购需求的部分要点</w:t>
            </w:r>
            <w:r>
              <w:rPr>
                <w:rFonts w:hint="eastAsia" w:ascii="仿宋" w:hAnsi="仿宋" w:eastAsia="仿宋" w:cs="宋体"/>
                <w:bCs/>
                <w:kern w:val="0"/>
                <w:szCs w:val="21"/>
              </w:rPr>
              <w:t>，得4分</w:t>
            </w:r>
          </w:p>
          <w:p w14:paraId="7A240CC1">
            <w:pPr>
              <w:widowControl/>
              <w:contextualSpacing/>
              <w:jc w:val="center"/>
              <w:rPr>
                <w:rFonts w:ascii="仿宋" w:hAnsi="仿宋" w:eastAsia="仿宋" w:cs="宋体"/>
                <w:bCs/>
                <w:kern w:val="0"/>
                <w:szCs w:val="21"/>
              </w:rPr>
            </w:pPr>
            <w:r>
              <w:rPr>
                <w:rFonts w:ascii="仿宋" w:hAnsi="仿宋" w:eastAsia="仿宋" w:cs="宋体"/>
                <w:bCs/>
                <w:kern w:val="0"/>
                <w:szCs w:val="21"/>
              </w:rPr>
              <w:t>项目需求分析不够清晰，对此类项目需求的理解认识存在欠缺，项目重难点把控不准确且偏差较大，提出的解决方案或应答内容针对性较弱，未能有效回应采购需求的核心要点</w:t>
            </w:r>
            <w:r>
              <w:rPr>
                <w:rFonts w:hint="eastAsia" w:ascii="仿宋" w:hAnsi="仿宋" w:eastAsia="仿宋" w:cs="宋体"/>
                <w:bCs/>
                <w:kern w:val="0"/>
                <w:szCs w:val="21"/>
              </w:rPr>
              <w:t>，得1分。</w:t>
            </w:r>
          </w:p>
          <w:p w14:paraId="540A43D2">
            <w:pPr>
              <w:widowControl/>
              <w:contextualSpacing/>
              <w:jc w:val="center"/>
              <w:rPr>
                <w:rFonts w:ascii="仿宋" w:hAnsi="仿宋" w:eastAsia="仿宋" w:cs="宋体"/>
                <w:bCs/>
                <w:kern w:val="0"/>
                <w:szCs w:val="21"/>
              </w:rPr>
            </w:pPr>
            <w:r>
              <w:rPr>
                <w:rFonts w:ascii="仿宋" w:hAnsi="仿宋" w:eastAsia="仿宋" w:cs="宋体"/>
                <w:bCs/>
                <w:kern w:val="0"/>
                <w:szCs w:val="21"/>
              </w:rPr>
              <w:t>未提供项目需求分析相关内容</w:t>
            </w:r>
            <w:r>
              <w:rPr>
                <w:rFonts w:hint="eastAsia" w:ascii="仿宋" w:hAnsi="仿宋" w:eastAsia="仿宋" w:cs="宋体"/>
                <w:bCs/>
                <w:kern w:val="0"/>
                <w:szCs w:val="21"/>
              </w:rPr>
              <w:t>得0分</w:t>
            </w:r>
            <w:r>
              <w:rPr>
                <w:rFonts w:ascii="仿宋" w:hAnsi="仿宋" w:eastAsia="仿宋" w:cs="宋体"/>
                <w:bCs/>
                <w:kern w:val="0"/>
                <w:szCs w:val="21"/>
              </w:rPr>
              <w:t>。</w:t>
            </w:r>
          </w:p>
        </w:tc>
        <w:tc>
          <w:tcPr>
            <w:tcW w:w="513" w:type="pct"/>
            <w:vAlign w:val="center"/>
          </w:tcPr>
          <w:p w14:paraId="28D8A4EF">
            <w:pPr>
              <w:widowControl/>
              <w:contextualSpacing/>
              <w:jc w:val="center"/>
              <w:rPr>
                <w:rFonts w:ascii="仿宋" w:hAnsi="仿宋" w:eastAsia="仿宋" w:cs="宋体"/>
                <w:bCs/>
                <w:kern w:val="0"/>
                <w:szCs w:val="21"/>
              </w:rPr>
            </w:pPr>
            <w:r>
              <w:rPr>
                <w:rFonts w:hint="eastAsia" w:ascii="仿宋" w:hAnsi="仿宋" w:eastAsia="仿宋" w:cs="宋体"/>
                <w:bCs/>
                <w:kern w:val="0"/>
                <w:szCs w:val="21"/>
              </w:rPr>
              <w:t>15</w:t>
            </w:r>
          </w:p>
        </w:tc>
        <w:tc>
          <w:tcPr>
            <w:tcW w:w="513" w:type="pct"/>
            <w:vAlign w:val="center"/>
          </w:tcPr>
          <w:p w14:paraId="79B2AA13">
            <w:pPr>
              <w:widowControl/>
              <w:contextualSpacing/>
              <w:jc w:val="center"/>
              <w:rPr>
                <w:rFonts w:hint="eastAsia" w:ascii="仿宋" w:hAnsi="仿宋" w:eastAsia="仿宋" w:cs="宋体"/>
                <w:bCs/>
                <w:kern w:val="0"/>
                <w:szCs w:val="21"/>
              </w:rPr>
            </w:pPr>
          </w:p>
        </w:tc>
      </w:tr>
      <w:tr w14:paraId="1CA02E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 w:hRule="atLeast"/>
          <w:jc w:val="center"/>
        </w:trPr>
        <w:tc>
          <w:tcPr>
            <w:tcW w:w="385" w:type="pct"/>
            <w:vAlign w:val="center"/>
          </w:tcPr>
          <w:p w14:paraId="12068AE9">
            <w:pPr>
              <w:widowControl/>
              <w:contextualSpacing/>
              <w:jc w:val="center"/>
              <w:rPr>
                <w:rFonts w:ascii="仿宋" w:hAnsi="仿宋" w:eastAsia="仿宋" w:cs="宋体"/>
                <w:bCs/>
                <w:kern w:val="0"/>
                <w:szCs w:val="21"/>
              </w:rPr>
            </w:pPr>
            <w:r>
              <w:rPr>
                <w:rFonts w:hint="eastAsia" w:ascii="仿宋" w:hAnsi="仿宋" w:eastAsia="仿宋" w:cs="宋体"/>
                <w:bCs/>
                <w:kern w:val="0"/>
                <w:szCs w:val="21"/>
              </w:rPr>
              <w:t>5</w:t>
            </w:r>
          </w:p>
        </w:tc>
        <w:tc>
          <w:tcPr>
            <w:tcW w:w="677" w:type="pct"/>
            <w:vAlign w:val="center"/>
          </w:tcPr>
          <w:p w14:paraId="200BC5E4">
            <w:pPr>
              <w:widowControl/>
              <w:contextualSpacing/>
              <w:jc w:val="center"/>
              <w:rPr>
                <w:rFonts w:ascii="仿宋" w:hAnsi="仿宋" w:eastAsia="仿宋" w:cs="宋体"/>
                <w:bCs/>
                <w:kern w:val="0"/>
                <w:szCs w:val="21"/>
              </w:rPr>
            </w:pPr>
            <w:r>
              <w:rPr>
                <w:rFonts w:hint="eastAsia" w:ascii="仿宋" w:hAnsi="仿宋" w:eastAsia="仿宋" w:cs="宋体"/>
                <w:bCs/>
                <w:kern w:val="0"/>
                <w:szCs w:val="21"/>
              </w:rPr>
              <w:t>项目实施方案</w:t>
            </w:r>
          </w:p>
        </w:tc>
        <w:tc>
          <w:tcPr>
            <w:tcW w:w="2910" w:type="pct"/>
            <w:vAlign w:val="center"/>
          </w:tcPr>
          <w:p w14:paraId="7EB38CF9">
            <w:pPr>
              <w:widowControl/>
              <w:contextualSpacing/>
              <w:jc w:val="center"/>
              <w:rPr>
                <w:rFonts w:ascii="仿宋" w:hAnsi="仿宋" w:eastAsia="仿宋" w:cs="宋体"/>
                <w:bCs/>
                <w:kern w:val="0"/>
                <w:szCs w:val="21"/>
              </w:rPr>
            </w:pPr>
            <w:r>
              <w:rPr>
                <w:rFonts w:hint="eastAsia" w:ascii="仿宋" w:hAnsi="仿宋" w:eastAsia="仿宋" w:cs="宋体"/>
                <w:bCs/>
                <w:kern w:val="0"/>
                <w:szCs w:val="21"/>
              </w:rPr>
              <w:t>投标人根据采购需求提供管理实施方案，方案内容包含但不限于：至少包含①运维计划管理、②投标人规章制度管理、③日常运行管理：</w:t>
            </w:r>
          </w:p>
          <w:p w14:paraId="493421CB">
            <w:pPr>
              <w:widowControl/>
              <w:contextualSpacing/>
              <w:jc w:val="center"/>
              <w:rPr>
                <w:rFonts w:ascii="仿宋" w:hAnsi="仿宋" w:eastAsia="仿宋" w:cs="宋体"/>
                <w:bCs/>
                <w:kern w:val="0"/>
                <w:szCs w:val="21"/>
              </w:rPr>
            </w:pPr>
            <w:r>
              <w:rPr>
                <w:rFonts w:hint="eastAsia" w:ascii="仿宋" w:hAnsi="仿宋" w:eastAsia="仿宋" w:cs="宋体"/>
                <w:bCs/>
                <w:kern w:val="0"/>
                <w:szCs w:val="21"/>
              </w:rPr>
              <w:t>方案内容详细，专门针对本项目，符合采购需求和实际情况视为符合；方案内容属于通用类，非专门针对本项目，部分符合实际情况视为部分符合；方案内容非专门针对本项目，不符合实际情况或未提供视为不符合。以上每一项符合得5分，部分符合得2分，不符合不得分，此项最高15分。</w:t>
            </w:r>
          </w:p>
        </w:tc>
        <w:tc>
          <w:tcPr>
            <w:tcW w:w="513" w:type="pct"/>
            <w:vAlign w:val="center"/>
          </w:tcPr>
          <w:p w14:paraId="700153F7">
            <w:pPr>
              <w:widowControl/>
              <w:contextualSpacing/>
              <w:jc w:val="center"/>
              <w:rPr>
                <w:rFonts w:ascii="仿宋" w:hAnsi="仿宋" w:eastAsia="仿宋" w:cs="宋体"/>
                <w:bCs/>
                <w:kern w:val="0"/>
                <w:szCs w:val="21"/>
              </w:rPr>
            </w:pPr>
            <w:r>
              <w:rPr>
                <w:rFonts w:hint="eastAsia" w:ascii="仿宋" w:hAnsi="仿宋" w:eastAsia="仿宋" w:cs="宋体"/>
                <w:bCs/>
                <w:kern w:val="0"/>
                <w:szCs w:val="21"/>
              </w:rPr>
              <w:t>15</w:t>
            </w:r>
          </w:p>
        </w:tc>
        <w:tc>
          <w:tcPr>
            <w:tcW w:w="513" w:type="pct"/>
            <w:vAlign w:val="center"/>
          </w:tcPr>
          <w:p w14:paraId="53DC6BA6">
            <w:pPr>
              <w:widowControl/>
              <w:contextualSpacing/>
              <w:jc w:val="center"/>
              <w:rPr>
                <w:rFonts w:hint="eastAsia" w:ascii="仿宋" w:hAnsi="仿宋" w:eastAsia="仿宋" w:cs="宋体"/>
                <w:bCs/>
                <w:kern w:val="0"/>
                <w:szCs w:val="21"/>
              </w:rPr>
            </w:pPr>
          </w:p>
        </w:tc>
      </w:tr>
      <w:tr w14:paraId="44EB06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 w:hRule="atLeast"/>
          <w:jc w:val="center"/>
        </w:trPr>
        <w:tc>
          <w:tcPr>
            <w:tcW w:w="385" w:type="pct"/>
            <w:vAlign w:val="center"/>
          </w:tcPr>
          <w:p w14:paraId="40B4896E">
            <w:pPr>
              <w:widowControl/>
              <w:contextualSpacing/>
              <w:jc w:val="center"/>
              <w:rPr>
                <w:rFonts w:ascii="仿宋" w:hAnsi="仿宋" w:eastAsia="仿宋" w:cs="宋体"/>
                <w:bCs/>
                <w:kern w:val="0"/>
                <w:szCs w:val="21"/>
              </w:rPr>
            </w:pPr>
            <w:r>
              <w:rPr>
                <w:rFonts w:hint="eastAsia" w:ascii="仿宋" w:hAnsi="仿宋" w:eastAsia="仿宋" w:cs="宋体"/>
                <w:bCs/>
                <w:kern w:val="0"/>
                <w:szCs w:val="21"/>
              </w:rPr>
              <w:t>6</w:t>
            </w:r>
          </w:p>
        </w:tc>
        <w:tc>
          <w:tcPr>
            <w:tcW w:w="677" w:type="pct"/>
            <w:vAlign w:val="center"/>
          </w:tcPr>
          <w:p w14:paraId="69092763">
            <w:pPr>
              <w:widowControl/>
              <w:contextualSpacing/>
              <w:jc w:val="center"/>
              <w:rPr>
                <w:rFonts w:ascii="仿宋" w:hAnsi="仿宋" w:eastAsia="仿宋" w:cs="宋体"/>
                <w:bCs/>
                <w:kern w:val="0"/>
                <w:szCs w:val="21"/>
              </w:rPr>
            </w:pPr>
            <w:r>
              <w:rPr>
                <w:rFonts w:ascii="仿宋" w:hAnsi="仿宋" w:eastAsia="仿宋" w:cs="宋体"/>
                <w:bCs/>
                <w:kern w:val="0"/>
                <w:szCs w:val="21"/>
              </w:rPr>
              <w:t>应急处理 方案</w:t>
            </w:r>
          </w:p>
        </w:tc>
        <w:tc>
          <w:tcPr>
            <w:tcW w:w="2910" w:type="pct"/>
            <w:vAlign w:val="center"/>
          </w:tcPr>
          <w:p w14:paraId="1F38E66C">
            <w:pPr>
              <w:widowControl/>
              <w:contextualSpacing/>
              <w:jc w:val="center"/>
              <w:rPr>
                <w:rFonts w:ascii="仿宋" w:hAnsi="仿宋" w:eastAsia="仿宋" w:cs="宋体"/>
                <w:bCs/>
                <w:kern w:val="0"/>
                <w:szCs w:val="21"/>
              </w:rPr>
            </w:pPr>
            <w:r>
              <w:rPr>
                <w:rFonts w:hint="eastAsia" w:ascii="仿宋" w:hAnsi="仿宋" w:eastAsia="仿宋" w:cs="宋体"/>
                <w:bCs/>
                <w:kern w:val="0"/>
                <w:szCs w:val="21"/>
              </w:rPr>
              <w:t>根据投标人提供的应急响应方案进行评分，方案包括但不限于①预防与预警机制、②应急响应方案、③紧急处理措施等内容：</w:t>
            </w:r>
            <w:r>
              <w:rPr>
                <w:rFonts w:hint="eastAsia" w:ascii="仿宋" w:hAnsi="仿宋" w:eastAsia="仿宋" w:cs="宋体"/>
                <w:bCs/>
                <w:kern w:val="0"/>
                <w:szCs w:val="21"/>
              </w:rPr>
              <w:br w:type="textWrapping"/>
            </w:r>
            <w:r>
              <w:rPr>
                <w:rFonts w:hint="eastAsia" w:ascii="仿宋" w:hAnsi="仿宋" w:eastAsia="仿宋" w:cs="宋体"/>
                <w:bCs/>
                <w:kern w:val="0"/>
                <w:szCs w:val="21"/>
              </w:rPr>
              <w:t>方案内容详细，专门针对本项目，符合采购需求和实际情况视为符合；方案内容属于通用类，非专门针对本项目，部分符合实际情况视为部分符合；方案内容非专门针对本项目，不符合实际情况或未提供视为不符合。以上每一项符合得5分，部分符合得2分，不符合不得分，此项最高15分。</w:t>
            </w:r>
          </w:p>
        </w:tc>
        <w:tc>
          <w:tcPr>
            <w:tcW w:w="513" w:type="pct"/>
            <w:vAlign w:val="center"/>
          </w:tcPr>
          <w:p w14:paraId="64EC6E76">
            <w:pPr>
              <w:widowControl/>
              <w:contextualSpacing/>
              <w:jc w:val="center"/>
              <w:rPr>
                <w:rFonts w:ascii="仿宋" w:hAnsi="仿宋" w:eastAsia="仿宋" w:cs="宋体"/>
                <w:bCs/>
                <w:kern w:val="0"/>
                <w:szCs w:val="21"/>
              </w:rPr>
            </w:pPr>
            <w:r>
              <w:rPr>
                <w:rFonts w:hint="eastAsia" w:ascii="仿宋" w:hAnsi="仿宋" w:eastAsia="仿宋" w:cs="宋体"/>
                <w:bCs/>
                <w:kern w:val="0"/>
                <w:szCs w:val="21"/>
              </w:rPr>
              <w:t>15</w:t>
            </w:r>
          </w:p>
        </w:tc>
        <w:tc>
          <w:tcPr>
            <w:tcW w:w="513" w:type="pct"/>
            <w:vAlign w:val="center"/>
          </w:tcPr>
          <w:p w14:paraId="463515D7">
            <w:pPr>
              <w:widowControl/>
              <w:contextualSpacing/>
              <w:jc w:val="center"/>
              <w:rPr>
                <w:rFonts w:hint="eastAsia" w:ascii="仿宋" w:hAnsi="仿宋" w:eastAsia="仿宋" w:cs="宋体"/>
                <w:bCs/>
                <w:kern w:val="0"/>
                <w:szCs w:val="21"/>
              </w:rPr>
            </w:pPr>
          </w:p>
        </w:tc>
      </w:tr>
      <w:tr w14:paraId="659108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8" w:hRule="atLeast"/>
          <w:jc w:val="center"/>
        </w:trPr>
        <w:tc>
          <w:tcPr>
            <w:tcW w:w="385" w:type="pct"/>
            <w:vAlign w:val="center"/>
          </w:tcPr>
          <w:p w14:paraId="5C39010D">
            <w:pPr>
              <w:widowControl/>
              <w:contextualSpacing/>
              <w:jc w:val="center"/>
              <w:rPr>
                <w:rFonts w:ascii="仿宋" w:hAnsi="仿宋" w:eastAsia="仿宋" w:cs="宋体"/>
                <w:bCs/>
                <w:kern w:val="0"/>
                <w:szCs w:val="21"/>
              </w:rPr>
            </w:pPr>
            <w:r>
              <w:rPr>
                <w:rFonts w:hint="eastAsia" w:ascii="仿宋" w:hAnsi="仿宋" w:eastAsia="仿宋" w:cs="宋体"/>
                <w:bCs/>
                <w:kern w:val="0"/>
                <w:szCs w:val="21"/>
              </w:rPr>
              <w:t>7</w:t>
            </w:r>
          </w:p>
        </w:tc>
        <w:tc>
          <w:tcPr>
            <w:tcW w:w="677" w:type="pct"/>
            <w:vAlign w:val="center"/>
          </w:tcPr>
          <w:p w14:paraId="11EA3913">
            <w:pPr>
              <w:widowControl/>
              <w:contextualSpacing/>
              <w:jc w:val="center"/>
              <w:rPr>
                <w:rFonts w:ascii="仿宋" w:hAnsi="仿宋" w:eastAsia="仿宋" w:cs="宋体"/>
                <w:bCs/>
                <w:kern w:val="0"/>
                <w:szCs w:val="21"/>
              </w:rPr>
            </w:pPr>
            <w:r>
              <w:rPr>
                <w:rFonts w:hint="eastAsia" w:ascii="仿宋" w:hAnsi="仿宋" w:eastAsia="仿宋" w:cs="宋体"/>
                <w:bCs/>
                <w:kern w:val="0"/>
                <w:szCs w:val="21"/>
              </w:rPr>
              <w:t>服务质量保障方案</w:t>
            </w:r>
          </w:p>
        </w:tc>
        <w:tc>
          <w:tcPr>
            <w:tcW w:w="2910" w:type="pct"/>
            <w:vAlign w:val="center"/>
          </w:tcPr>
          <w:p w14:paraId="619C5036">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根据投标人提供的服务质量保障方案，方案包含但不限于①服务质量保证措施、②服务质量管理制度等内容：</w:t>
            </w:r>
          </w:p>
          <w:p w14:paraId="44BE1E4E">
            <w:pPr>
              <w:widowControl/>
              <w:contextualSpacing/>
              <w:jc w:val="center"/>
              <w:rPr>
                <w:rFonts w:ascii="仿宋" w:hAnsi="仿宋" w:eastAsia="仿宋" w:cs="宋体"/>
                <w:bCs/>
                <w:kern w:val="0"/>
                <w:szCs w:val="21"/>
              </w:rPr>
            </w:pPr>
            <w:r>
              <w:rPr>
                <w:rFonts w:hint="eastAsia" w:ascii="仿宋" w:hAnsi="仿宋" w:eastAsia="仿宋" w:cs="宋体"/>
                <w:bCs/>
                <w:kern w:val="0"/>
                <w:szCs w:val="21"/>
              </w:rPr>
              <w:t>方案内容详细，专门针对本项目，符合采购需求和实际情况视为符合；方案内容属于通用类，非专门针对本项目，部分符合实际情况视为部分符合；方案内容非专门针对本项目，不符合实际情况或未提供视为不符合。以上每一项符合得5分，部分符合得2分，不符合不得分，此项最高10分。</w:t>
            </w:r>
          </w:p>
        </w:tc>
        <w:tc>
          <w:tcPr>
            <w:tcW w:w="513" w:type="pct"/>
            <w:vAlign w:val="center"/>
          </w:tcPr>
          <w:p w14:paraId="4C9D6563">
            <w:pPr>
              <w:widowControl/>
              <w:contextualSpacing/>
              <w:jc w:val="center"/>
              <w:rPr>
                <w:rFonts w:ascii="仿宋" w:hAnsi="仿宋" w:eastAsia="仿宋" w:cs="宋体"/>
                <w:bCs/>
                <w:kern w:val="0"/>
                <w:szCs w:val="21"/>
              </w:rPr>
            </w:pPr>
            <w:r>
              <w:rPr>
                <w:rFonts w:hint="eastAsia" w:ascii="仿宋" w:hAnsi="仿宋" w:eastAsia="仿宋" w:cs="宋体"/>
                <w:bCs/>
                <w:kern w:val="0"/>
                <w:szCs w:val="21"/>
              </w:rPr>
              <w:t>10</w:t>
            </w:r>
          </w:p>
        </w:tc>
        <w:tc>
          <w:tcPr>
            <w:tcW w:w="513" w:type="pct"/>
            <w:vAlign w:val="center"/>
          </w:tcPr>
          <w:p w14:paraId="28EFF25E">
            <w:pPr>
              <w:widowControl/>
              <w:contextualSpacing/>
              <w:jc w:val="center"/>
              <w:rPr>
                <w:rFonts w:hint="eastAsia" w:ascii="仿宋" w:hAnsi="仿宋" w:eastAsia="仿宋" w:cs="宋体"/>
                <w:bCs/>
                <w:kern w:val="0"/>
                <w:szCs w:val="21"/>
              </w:rPr>
            </w:pPr>
          </w:p>
        </w:tc>
      </w:tr>
      <w:tr w14:paraId="75191F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8" w:hRule="atLeast"/>
          <w:jc w:val="center"/>
        </w:trPr>
        <w:tc>
          <w:tcPr>
            <w:tcW w:w="385" w:type="pct"/>
            <w:vAlign w:val="center"/>
          </w:tcPr>
          <w:p w14:paraId="443A48F3">
            <w:pPr>
              <w:widowControl/>
              <w:contextualSpacing/>
              <w:jc w:val="center"/>
              <w:rPr>
                <w:rFonts w:ascii="仿宋" w:hAnsi="仿宋" w:eastAsia="仿宋" w:cs="宋体"/>
                <w:bCs/>
                <w:kern w:val="0"/>
                <w:szCs w:val="21"/>
              </w:rPr>
            </w:pPr>
            <w:r>
              <w:rPr>
                <w:rFonts w:hint="eastAsia" w:ascii="仿宋" w:hAnsi="仿宋" w:eastAsia="仿宋" w:cs="宋体"/>
                <w:bCs/>
                <w:kern w:val="0"/>
                <w:szCs w:val="21"/>
              </w:rPr>
              <w:t>8</w:t>
            </w:r>
          </w:p>
        </w:tc>
        <w:tc>
          <w:tcPr>
            <w:tcW w:w="677" w:type="pct"/>
            <w:vAlign w:val="center"/>
          </w:tcPr>
          <w:p w14:paraId="0B0D7749">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培训方案</w:t>
            </w:r>
          </w:p>
        </w:tc>
        <w:tc>
          <w:tcPr>
            <w:tcW w:w="2910" w:type="pct"/>
            <w:vAlign w:val="center"/>
          </w:tcPr>
          <w:p w14:paraId="1EA5D94E">
            <w:pPr>
              <w:widowControl/>
              <w:contextualSpacing/>
              <w:jc w:val="center"/>
              <w:rPr>
                <w:rFonts w:ascii="仿宋" w:hAnsi="仿宋" w:eastAsia="仿宋" w:cs="宋体"/>
                <w:bCs/>
                <w:kern w:val="0"/>
                <w:szCs w:val="21"/>
              </w:rPr>
            </w:pPr>
            <w:r>
              <w:rPr>
                <w:rFonts w:hint="eastAsia" w:ascii="仿宋" w:hAnsi="仿宋" w:eastAsia="仿宋" w:cs="宋体"/>
                <w:bCs/>
                <w:kern w:val="0"/>
                <w:szCs w:val="21"/>
              </w:rPr>
              <w:t>根据投标人提供的培训方案进行评分，方案包括①培训计划、②培训课程安排、授课人员及具体培训时间等内容：</w:t>
            </w:r>
            <w:r>
              <w:rPr>
                <w:rFonts w:hint="eastAsia" w:ascii="仿宋" w:hAnsi="仿宋" w:eastAsia="仿宋" w:cs="宋体"/>
                <w:bCs/>
                <w:kern w:val="0"/>
                <w:szCs w:val="21"/>
              </w:rPr>
              <w:br w:type="textWrapping"/>
            </w:r>
            <w:r>
              <w:rPr>
                <w:rFonts w:hint="eastAsia" w:ascii="仿宋" w:hAnsi="仿宋" w:eastAsia="仿宋" w:cs="宋体"/>
                <w:bCs/>
                <w:kern w:val="0"/>
                <w:szCs w:val="21"/>
              </w:rPr>
              <w:t>方案内容详细，专门针对本项目，符合采购需求和实际情况视为符合；方案内容属于通用类，非专门针对本项目，部分符合实际情况视为部分符合；方案内容非专门针对本项目，不符合实际情况或未提供视为不符合。以上每一项符合得5分，部分符合得2分，不符合不得分，此项最高10分。</w:t>
            </w:r>
          </w:p>
        </w:tc>
        <w:tc>
          <w:tcPr>
            <w:tcW w:w="513" w:type="pct"/>
            <w:vAlign w:val="center"/>
          </w:tcPr>
          <w:p w14:paraId="5B8E3823">
            <w:pPr>
              <w:widowControl/>
              <w:contextualSpacing/>
              <w:jc w:val="center"/>
              <w:rPr>
                <w:rFonts w:ascii="仿宋" w:hAnsi="仿宋" w:eastAsia="仿宋" w:cs="宋体"/>
                <w:bCs/>
                <w:kern w:val="0"/>
                <w:szCs w:val="21"/>
              </w:rPr>
            </w:pPr>
            <w:r>
              <w:rPr>
                <w:rFonts w:hint="eastAsia" w:ascii="仿宋" w:hAnsi="仿宋" w:eastAsia="仿宋" w:cs="宋体"/>
                <w:bCs/>
                <w:kern w:val="0"/>
                <w:szCs w:val="21"/>
              </w:rPr>
              <w:t>10</w:t>
            </w:r>
          </w:p>
        </w:tc>
        <w:tc>
          <w:tcPr>
            <w:tcW w:w="513" w:type="pct"/>
            <w:vAlign w:val="center"/>
          </w:tcPr>
          <w:p w14:paraId="4E5CF129">
            <w:pPr>
              <w:widowControl/>
              <w:contextualSpacing/>
              <w:jc w:val="center"/>
              <w:rPr>
                <w:rFonts w:hint="eastAsia" w:ascii="仿宋" w:hAnsi="仿宋" w:eastAsia="仿宋" w:cs="宋体"/>
                <w:bCs/>
                <w:kern w:val="0"/>
                <w:szCs w:val="21"/>
              </w:rPr>
            </w:pPr>
          </w:p>
        </w:tc>
      </w:tr>
      <w:tr w14:paraId="2FB6BB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8" w:hRule="atLeast"/>
          <w:jc w:val="center"/>
        </w:trPr>
        <w:tc>
          <w:tcPr>
            <w:tcW w:w="385" w:type="pct"/>
            <w:vAlign w:val="center"/>
          </w:tcPr>
          <w:p w14:paraId="4B26FF2C">
            <w:pPr>
              <w:widowControl/>
              <w:contextualSpacing/>
              <w:jc w:val="center"/>
              <w:rPr>
                <w:rFonts w:ascii="仿宋" w:hAnsi="仿宋" w:eastAsia="仿宋" w:cs="宋体"/>
                <w:bCs/>
                <w:kern w:val="0"/>
                <w:szCs w:val="21"/>
              </w:rPr>
            </w:pPr>
            <w:r>
              <w:rPr>
                <w:rFonts w:hint="eastAsia" w:ascii="仿宋" w:hAnsi="仿宋" w:eastAsia="仿宋" w:cs="宋体"/>
                <w:bCs/>
                <w:kern w:val="0"/>
                <w:szCs w:val="21"/>
              </w:rPr>
              <w:t>9</w:t>
            </w:r>
          </w:p>
        </w:tc>
        <w:tc>
          <w:tcPr>
            <w:tcW w:w="677" w:type="pct"/>
            <w:vAlign w:val="center"/>
          </w:tcPr>
          <w:p w14:paraId="321805D7">
            <w:pPr>
              <w:widowControl/>
              <w:contextualSpacing/>
              <w:jc w:val="center"/>
              <w:rPr>
                <w:rFonts w:ascii="仿宋" w:hAnsi="仿宋" w:eastAsia="仿宋" w:cs="宋体"/>
                <w:bCs/>
                <w:kern w:val="0"/>
                <w:szCs w:val="21"/>
              </w:rPr>
            </w:pPr>
            <w:r>
              <w:rPr>
                <w:rFonts w:hint="eastAsia" w:ascii="仿宋" w:hAnsi="仿宋" w:eastAsia="仿宋" w:cs="宋体"/>
                <w:bCs/>
                <w:kern w:val="0"/>
                <w:szCs w:val="21"/>
              </w:rPr>
              <w:t>拟派</w:t>
            </w:r>
            <w:r>
              <w:rPr>
                <w:rFonts w:ascii="仿宋" w:hAnsi="仿宋" w:eastAsia="仿宋" w:cs="宋体"/>
                <w:bCs/>
                <w:kern w:val="0"/>
                <w:szCs w:val="21"/>
              </w:rPr>
              <w:t>服务团队</w:t>
            </w:r>
          </w:p>
        </w:tc>
        <w:tc>
          <w:tcPr>
            <w:tcW w:w="2910" w:type="pct"/>
            <w:vAlign w:val="center"/>
          </w:tcPr>
          <w:p w14:paraId="5EA4CE30">
            <w:pPr>
              <w:widowControl/>
              <w:contextualSpacing/>
              <w:jc w:val="center"/>
              <w:rPr>
                <w:rFonts w:ascii="仿宋" w:hAnsi="仿宋" w:eastAsia="仿宋" w:cs="宋体"/>
                <w:bCs/>
                <w:kern w:val="0"/>
                <w:szCs w:val="21"/>
              </w:rPr>
            </w:pPr>
            <w:r>
              <w:rPr>
                <w:rFonts w:ascii="仿宋" w:hAnsi="仿宋" w:eastAsia="仿宋" w:cs="宋体"/>
                <w:bCs/>
                <w:kern w:val="0"/>
                <w:szCs w:val="21"/>
              </w:rPr>
              <w:t>根据</w:t>
            </w:r>
            <w:r>
              <w:rPr>
                <w:rFonts w:hint="eastAsia" w:ascii="仿宋" w:hAnsi="仿宋" w:eastAsia="仿宋" w:cs="宋体"/>
                <w:bCs/>
                <w:kern w:val="0"/>
                <w:szCs w:val="21"/>
              </w:rPr>
              <w:t>投标人</w:t>
            </w:r>
            <w:r>
              <w:rPr>
                <w:rFonts w:ascii="仿宋" w:hAnsi="仿宋" w:eastAsia="仿宋" w:cs="宋体"/>
                <w:bCs/>
                <w:kern w:val="0"/>
                <w:szCs w:val="21"/>
              </w:rPr>
              <w:t>为本项目配备的服务团队进行评价，其中：</w:t>
            </w:r>
          </w:p>
          <w:p w14:paraId="7386F368">
            <w:pPr>
              <w:widowControl/>
              <w:contextualSpacing/>
              <w:jc w:val="center"/>
              <w:rPr>
                <w:rFonts w:ascii="仿宋" w:hAnsi="仿宋" w:eastAsia="仿宋" w:cs="宋体"/>
                <w:bCs/>
                <w:kern w:val="0"/>
                <w:szCs w:val="21"/>
              </w:rPr>
            </w:pPr>
            <w:r>
              <w:rPr>
                <w:rFonts w:ascii="仿宋" w:hAnsi="仿宋" w:eastAsia="仿宋" w:cs="宋体"/>
                <w:bCs/>
                <w:kern w:val="0"/>
                <w:szCs w:val="21"/>
              </w:rPr>
              <w:t>（1）</w:t>
            </w:r>
            <w:r>
              <w:rPr>
                <w:rFonts w:hint="eastAsia" w:ascii="仿宋" w:hAnsi="仿宋" w:eastAsia="仿宋" w:cs="宋体"/>
                <w:bCs/>
                <w:kern w:val="0"/>
                <w:szCs w:val="21"/>
              </w:rPr>
              <w:t>项目经理具备以中国信息安全测评中心颁发的</w:t>
            </w:r>
            <w:r>
              <w:rPr>
                <w:rFonts w:ascii="仿宋" w:hAnsi="仿宋" w:eastAsia="仿宋" w:cs="宋体"/>
                <w:bCs/>
                <w:kern w:val="0"/>
                <w:szCs w:val="21"/>
              </w:rPr>
              <w:t>CISP</w:t>
            </w:r>
            <w:r>
              <w:rPr>
                <w:rFonts w:hint="eastAsia" w:ascii="仿宋" w:hAnsi="仿宋" w:eastAsia="仿宋" w:cs="宋体"/>
                <w:bCs/>
                <w:kern w:val="0"/>
                <w:szCs w:val="21"/>
              </w:rPr>
              <w:t>证书的得1分；具备以</w:t>
            </w:r>
            <w:r>
              <w:rPr>
                <w:rFonts w:ascii="仿宋" w:hAnsi="仿宋" w:eastAsia="仿宋" w:cs="宋体"/>
                <w:bCs/>
                <w:kern w:val="0"/>
                <w:szCs w:val="21"/>
              </w:rPr>
              <w:t>工业和信息化部教育与考试中心颁发的高级信创集成项目管理师证书</w:t>
            </w:r>
            <w:r>
              <w:rPr>
                <w:rFonts w:hint="eastAsia" w:ascii="仿宋" w:hAnsi="仿宋" w:eastAsia="仿宋" w:cs="宋体"/>
                <w:bCs/>
                <w:kern w:val="0"/>
                <w:szCs w:val="21"/>
              </w:rPr>
              <w:t>的得1分。</w:t>
            </w:r>
          </w:p>
          <w:p w14:paraId="1B34D32C">
            <w:pPr>
              <w:widowControl/>
              <w:contextualSpacing/>
              <w:jc w:val="center"/>
              <w:rPr>
                <w:rFonts w:ascii="仿宋" w:hAnsi="仿宋" w:eastAsia="仿宋" w:cs="宋体"/>
                <w:bCs/>
                <w:kern w:val="0"/>
                <w:szCs w:val="21"/>
              </w:rPr>
            </w:pPr>
            <w:r>
              <w:rPr>
                <w:rFonts w:ascii="仿宋" w:hAnsi="仿宋" w:eastAsia="仿宋" w:cs="宋体"/>
                <w:bCs/>
                <w:kern w:val="0"/>
                <w:szCs w:val="21"/>
              </w:rPr>
              <w:t>（2）</w:t>
            </w:r>
            <w:r>
              <w:rPr>
                <w:rFonts w:hint="eastAsia" w:ascii="仿宋" w:hAnsi="仿宋" w:eastAsia="仿宋" w:cs="宋体"/>
                <w:bCs/>
                <w:kern w:val="0"/>
                <w:szCs w:val="21"/>
              </w:rPr>
              <w:t>运维团队人员具备以中国信息安全测评中心颁发的</w:t>
            </w:r>
            <w:r>
              <w:rPr>
                <w:rFonts w:ascii="仿宋" w:hAnsi="仿宋" w:eastAsia="仿宋" w:cs="宋体"/>
                <w:bCs/>
                <w:kern w:val="0"/>
                <w:szCs w:val="21"/>
              </w:rPr>
              <w:t>CISP</w:t>
            </w:r>
            <w:r>
              <w:rPr>
                <w:rFonts w:hint="eastAsia" w:ascii="仿宋" w:hAnsi="仿宋" w:eastAsia="仿宋" w:cs="宋体"/>
                <w:bCs/>
                <w:kern w:val="0"/>
                <w:szCs w:val="21"/>
              </w:rPr>
              <w:t>证书及以</w:t>
            </w:r>
            <w:r>
              <w:rPr>
                <w:rFonts w:ascii="仿宋" w:hAnsi="仿宋" w:eastAsia="仿宋" w:cs="宋体"/>
                <w:bCs/>
                <w:kern w:val="0"/>
                <w:szCs w:val="21"/>
              </w:rPr>
              <w:t>工业和信息化部教育与考试中心颁发的高级信创集成项目管理师证书</w:t>
            </w:r>
            <w:r>
              <w:rPr>
                <w:rFonts w:hint="eastAsia" w:ascii="仿宋" w:hAnsi="仿宋" w:eastAsia="仿宋" w:cs="宋体"/>
                <w:bCs/>
                <w:kern w:val="0"/>
                <w:szCs w:val="21"/>
              </w:rPr>
              <w:t>的，每提供1人得1分，最多得2分。</w:t>
            </w:r>
          </w:p>
          <w:p w14:paraId="5495F229">
            <w:pPr>
              <w:widowControl/>
              <w:contextualSpacing/>
              <w:jc w:val="center"/>
              <w:rPr>
                <w:rFonts w:ascii="仿宋" w:hAnsi="仿宋" w:eastAsia="仿宋" w:cs="宋体"/>
                <w:bCs/>
                <w:kern w:val="0"/>
                <w:szCs w:val="21"/>
              </w:rPr>
            </w:pPr>
            <w:r>
              <w:rPr>
                <w:rFonts w:hint="eastAsia" w:ascii="仿宋" w:hAnsi="仿宋" w:eastAsia="仿宋" w:cs="宋体"/>
                <w:bCs/>
                <w:kern w:val="0"/>
                <w:szCs w:val="21"/>
              </w:rPr>
              <w:t>注：</w:t>
            </w:r>
            <w:r>
              <w:rPr>
                <w:rFonts w:ascii="仿宋" w:hAnsi="仿宋" w:eastAsia="仿宋" w:cs="宋体"/>
                <w:bCs/>
                <w:kern w:val="0"/>
                <w:szCs w:val="21"/>
              </w:rPr>
              <w:t>提供证书复印件</w:t>
            </w:r>
            <w:r>
              <w:rPr>
                <w:rFonts w:hint="eastAsia" w:ascii="仿宋" w:hAnsi="仿宋" w:eastAsia="仿宋" w:cs="宋体"/>
                <w:bCs/>
                <w:kern w:val="0"/>
                <w:szCs w:val="21"/>
              </w:rPr>
              <w:t>，</w:t>
            </w:r>
            <w:r>
              <w:rPr>
                <w:rFonts w:ascii="仿宋" w:hAnsi="仿宋" w:eastAsia="仿宋" w:cs="宋体"/>
                <w:bCs/>
                <w:kern w:val="0"/>
                <w:szCs w:val="21"/>
              </w:rPr>
              <w:t>同时提供</w:t>
            </w:r>
            <w:bookmarkStart w:id="0" w:name="_GoBack"/>
            <w:bookmarkEnd w:id="0"/>
            <w:r>
              <w:rPr>
                <w:rFonts w:hint="eastAsia" w:ascii="仿宋" w:hAnsi="仿宋" w:eastAsia="仿宋" w:cs="宋体"/>
                <w:bCs/>
                <w:kern w:val="0"/>
                <w:szCs w:val="21"/>
              </w:rPr>
              <w:t>投标人近六个月任意一个月为该人员缴纳在职社保证明复印件</w:t>
            </w:r>
            <w:r>
              <w:rPr>
                <w:rFonts w:ascii="仿宋" w:hAnsi="仿宋" w:eastAsia="仿宋" w:cs="宋体"/>
                <w:bCs/>
                <w:kern w:val="0"/>
                <w:szCs w:val="21"/>
              </w:rPr>
              <w:t>并加盖</w:t>
            </w:r>
            <w:r>
              <w:rPr>
                <w:rFonts w:hint="eastAsia" w:ascii="仿宋" w:hAnsi="仿宋" w:eastAsia="仿宋" w:cs="宋体"/>
                <w:bCs/>
                <w:kern w:val="0"/>
                <w:szCs w:val="21"/>
              </w:rPr>
              <w:t>投标人</w:t>
            </w:r>
            <w:r>
              <w:rPr>
                <w:rFonts w:ascii="仿宋" w:hAnsi="仿宋" w:eastAsia="仿宋" w:cs="宋体"/>
                <w:bCs/>
                <w:kern w:val="0"/>
                <w:szCs w:val="21"/>
              </w:rPr>
              <w:t>公章</w:t>
            </w:r>
            <w:r>
              <w:rPr>
                <w:rFonts w:hint="eastAsia" w:ascii="仿宋" w:hAnsi="仿宋" w:eastAsia="仿宋" w:cs="宋体"/>
                <w:bCs/>
                <w:kern w:val="0"/>
                <w:szCs w:val="21"/>
              </w:rPr>
              <w:t>，否则不予认可。</w:t>
            </w:r>
          </w:p>
        </w:tc>
        <w:tc>
          <w:tcPr>
            <w:tcW w:w="513" w:type="pct"/>
            <w:vAlign w:val="center"/>
          </w:tcPr>
          <w:p w14:paraId="1777EB0F">
            <w:pPr>
              <w:widowControl/>
              <w:contextualSpacing/>
              <w:jc w:val="center"/>
              <w:rPr>
                <w:rFonts w:ascii="仿宋" w:hAnsi="仿宋" w:eastAsia="仿宋" w:cs="宋体"/>
                <w:bCs/>
                <w:kern w:val="0"/>
                <w:szCs w:val="21"/>
              </w:rPr>
            </w:pPr>
            <w:r>
              <w:rPr>
                <w:rFonts w:hint="eastAsia" w:ascii="仿宋" w:hAnsi="仿宋" w:eastAsia="仿宋" w:cs="宋体"/>
                <w:bCs/>
                <w:kern w:val="0"/>
                <w:szCs w:val="21"/>
              </w:rPr>
              <w:t>4</w:t>
            </w:r>
          </w:p>
        </w:tc>
        <w:tc>
          <w:tcPr>
            <w:tcW w:w="513" w:type="pct"/>
            <w:vAlign w:val="center"/>
          </w:tcPr>
          <w:p w14:paraId="28B41645">
            <w:pPr>
              <w:widowControl/>
              <w:contextualSpacing/>
              <w:jc w:val="center"/>
              <w:rPr>
                <w:rFonts w:hint="eastAsia" w:ascii="仿宋" w:hAnsi="仿宋" w:eastAsia="仿宋" w:cs="宋体"/>
                <w:bCs/>
                <w:kern w:val="0"/>
                <w:szCs w:val="21"/>
              </w:rPr>
            </w:pPr>
          </w:p>
        </w:tc>
      </w:tr>
      <w:tr w14:paraId="0B31A5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8" w:hRule="atLeast"/>
          <w:jc w:val="center"/>
        </w:trPr>
        <w:tc>
          <w:tcPr>
            <w:tcW w:w="385" w:type="pct"/>
            <w:shd w:val="clear" w:color="auto" w:fill="auto"/>
            <w:vAlign w:val="center"/>
          </w:tcPr>
          <w:p w14:paraId="0255D665">
            <w:pPr>
              <w:widowControl/>
              <w:contextualSpacing/>
              <w:jc w:val="center"/>
              <w:rPr>
                <w:rFonts w:hint="eastAsia" w:ascii="仿宋" w:hAnsi="仿宋" w:eastAsia="仿宋" w:cs="宋体"/>
                <w:bCs/>
                <w:kern w:val="0"/>
                <w:szCs w:val="21"/>
                <w:lang w:val="en-US" w:eastAsia="zh-CN"/>
              </w:rPr>
            </w:pPr>
            <w:r>
              <w:rPr>
                <w:rFonts w:ascii="仿宋" w:hAnsi="仿宋" w:eastAsia="仿宋" w:cs="宋体"/>
                <w:bCs/>
                <w:kern w:val="0"/>
                <w:szCs w:val="21"/>
              </w:rPr>
              <w:t>总评分</w:t>
            </w:r>
          </w:p>
        </w:tc>
        <w:tc>
          <w:tcPr>
            <w:tcW w:w="677" w:type="pct"/>
            <w:shd w:val="clear" w:color="auto" w:fill="auto"/>
            <w:vAlign w:val="center"/>
          </w:tcPr>
          <w:p w14:paraId="79741726">
            <w:pPr>
              <w:widowControl/>
              <w:contextualSpacing/>
              <w:jc w:val="center"/>
              <w:rPr>
                <w:rFonts w:hint="eastAsia" w:ascii="仿宋" w:hAnsi="仿宋" w:eastAsia="仿宋" w:cs="宋体"/>
                <w:bCs/>
                <w:kern w:val="0"/>
                <w:szCs w:val="21"/>
                <w:lang w:val="en-US" w:eastAsia="zh-CN"/>
              </w:rPr>
            </w:pPr>
          </w:p>
        </w:tc>
        <w:tc>
          <w:tcPr>
            <w:tcW w:w="2910" w:type="pct"/>
            <w:shd w:val="clear" w:color="auto" w:fill="auto"/>
            <w:vAlign w:val="center"/>
          </w:tcPr>
          <w:p w14:paraId="1CB39DB7">
            <w:pPr>
              <w:widowControl/>
              <w:contextualSpacing/>
              <w:jc w:val="center"/>
              <w:rPr>
                <w:rFonts w:hint="eastAsia" w:ascii="仿宋" w:hAnsi="仿宋" w:eastAsia="仿宋" w:cs="宋体"/>
                <w:bCs/>
                <w:kern w:val="0"/>
                <w:szCs w:val="21"/>
                <w:lang w:val="en-US" w:eastAsia="zh-CN"/>
              </w:rPr>
            </w:pPr>
          </w:p>
        </w:tc>
        <w:tc>
          <w:tcPr>
            <w:tcW w:w="513" w:type="pct"/>
            <w:shd w:val="clear" w:color="auto" w:fill="auto"/>
            <w:vAlign w:val="center"/>
          </w:tcPr>
          <w:p w14:paraId="2775F30D">
            <w:pPr>
              <w:widowControl/>
              <w:contextualSpacing/>
              <w:jc w:val="center"/>
              <w:rPr>
                <w:rFonts w:hint="eastAsia" w:ascii="仿宋" w:hAnsi="仿宋" w:eastAsia="仿宋" w:cs="宋体"/>
                <w:bCs/>
                <w:kern w:val="0"/>
                <w:szCs w:val="21"/>
                <w:lang w:val="en-US" w:eastAsia="zh-CN"/>
              </w:rPr>
            </w:pPr>
            <w:r>
              <w:rPr>
                <w:rFonts w:ascii="仿宋" w:hAnsi="仿宋" w:eastAsia="仿宋" w:cs="宋体"/>
                <w:bCs/>
                <w:kern w:val="0"/>
                <w:szCs w:val="21"/>
              </w:rPr>
              <w:t>100分</w:t>
            </w:r>
          </w:p>
        </w:tc>
        <w:tc>
          <w:tcPr>
            <w:tcW w:w="513" w:type="pct"/>
            <w:shd w:val="clear" w:color="auto" w:fill="auto"/>
            <w:vAlign w:val="center"/>
          </w:tcPr>
          <w:p w14:paraId="3A1D9B9B">
            <w:pPr>
              <w:widowControl/>
              <w:contextualSpacing/>
              <w:jc w:val="center"/>
              <w:rPr>
                <w:rFonts w:hint="eastAsia" w:ascii="仿宋" w:hAnsi="仿宋" w:eastAsia="仿宋" w:cs="宋体"/>
                <w:bCs/>
                <w:kern w:val="0"/>
                <w:szCs w:val="21"/>
                <w:lang w:val="en-US" w:eastAsia="zh-CN"/>
              </w:rPr>
            </w:pPr>
          </w:p>
        </w:tc>
      </w:tr>
    </w:tbl>
    <w:p w14:paraId="5D5E73E2">
      <w:pPr>
        <w:widowControl/>
        <w:shd w:val="clear" w:color="auto" w:fill="FFFFFF"/>
        <w:contextualSpacing/>
        <w:jc w:val="left"/>
        <w:rPr>
          <w:rFonts w:ascii="黑体" w:hAnsi="黑体" w:eastAsia="黑体"/>
          <w:color w:val="000000" w:themeColor="text1"/>
          <w:sz w:val="36"/>
          <w:szCs w:val="36"/>
          <w:u w:val="single"/>
          <w14:textFill>
            <w14:solidFill>
              <w14:schemeClr w14:val="tx1"/>
            </w14:solidFill>
          </w14:textFill>
        </w:rPr>
      </w:pPr>
    </w:p>
    <w:p w14:paraId="48E1F767">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bCs/>
          <w:color w:val="0F1115"/>
          <w:kern w:val="0"/>
          <w:sz w:val="24"/>
          <w:szCs w:val="24"/>
        </w:rPr>
        <w:t>评审委员会确认：</w:t>
      </w:r>
    </w:p>
    <w:p w14:paraId="5921C940">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color w:val="0F1115"/>
          <w:kern w:val="0"/>
          <w:sz w:val="24"/>
          <w:szCs w:val="24"/>
        </w:rPr>
        <w:t>我们确认，已根据比选文件规定的评审标准和程序，对所有通过资格性及符合性审查的参选文件进行了独立、公正的评审，并依据上表评分标准得出各项得分及总评分。</w:t>
      </w:r>
    </w:p>
    <w:p w14:paraId="53709834">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color w:val="0F1115"/>
          <w:kern w:val="0"/>
          <w:sz w:val="24"/>
          <w:szCs w:val="24"/>
        </w:rPr>
        <w:t xml:space="preserve">评审员（签字）：__________ __________ __________ </w:t>
      </w:r>
    </w:p>
    <w:p w14:paraId="49F1F5A4">
      <w:r>
        <w:rPr>
          <w:rFonts w:ascii="仿宋" w:hAnsi="仿宋" w:eastAsia="仿宋" w:cs="Segoe UI"/>
          <w:color w:val="0F1115"/>
          <w:kern w:val="0"/>
          <w:sz w:val="24"/>
          <w:szCs w:val="24"/>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465BE"/>
    <w:rsid w:val="04E465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2026-10-13T08:41:00Z</dcterms:created>
  <dc:creator>Lyn</dc:creator>
  <cp:lastModifiedBy>Lyn</cp:lastModifiedBy>
  <dcterms:modified xsi:type="dcterms:W3CDTF">2026-10-13T08:42:40Z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FA8068B8D60B494496D0A8F8A57450D6_11</vt:lpwstr>
  </property>
  <property fmtid="{D5CDD505-2E9C-101B-9397-08002B2CF9AE}" pid="4" name="KSOTemplateDocerSaveRecord">
    <vt:lpwstr>eyJoZGlkIjoiMzI1NTc2YjM3YjBhNGRlYTk3YmY1YzQ4ZGRhMmI5ZWUiLCJ1c2VySWQiOiI0MzA1OTk4ODEifQ==</vt:lpwstr>
  </property>
</Properties>
</file>