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B8559">
      <w:pPr>
        <w:widowControl/>
        <w:shd w:val="clear" w:color="auto" w:fill="FFFFFF"/>
        <w:spacing w:line="520" w:lineRule="exact"/>
        <w:contextualSpacing/>
        <w:jc w:val="left"/>
        <w:rPr>
          <w:rFonts w:ascii="仿宋" w:hAnsi="仿宋" w:eastAsia="仿宋"/>
          <w:b/>
          <w:color w:val="0F1115"/>
          <w:sz w:val="32"/>
          <w:szCs w:val="32"/>
          <w:shd w:val="clear" w:color="auto" w:fill="FFFFFF"/>
        </w:rPr>
      </w:pPr>
      <w:r>
        <w:rPr>
          <w:rFonts w:hint="eastAsia" w:ascii="仿宋" w:hAnsi="仿宋" w:eastAsia="仿宋"/>
          <w:b/>
          <w:color w:val="0F1115"/>
          <w:sz w:val="32"/>
          <w:szCs w:val="32"/>
          <w:shd w:val="clear" w:color="auto" w:fill="FFFFFF"/>
        </w:rPr>
        <w:t>附件五：</w:t>
      </w:r>
      <w:r>
        <w:rPr>
          <w:rFonts w:ascii="仿宋" w:hAnsi="仿宋" w:eastAsia="仿宋"/>
          <w:b/>
          <w:color w:val="0F1115"/>
          <w:sz w:val="32"/>
          <w:szCs w:val="32"/>
          <w:shd w:val="clear" w:color="auto" w:fill="FFFFFF"/>
        </w:rPr>
        <w:t>综合评分表（总分</w:t>
      </w:r>
      <w:r>
        <w:rPr>
          <w:rFonts w:hint="eastAsia" w:ascii="仿宋" w:hAnsi="仿宋" w:eastAsia="仿宋"/>
          <w:b/>
          <w:color w:val="0F1115"/>
          <w:sz w:val="32"/>
          <w:szCs w:val="32"/>
          <w:shd w:val="clear" w:color="auto" w:fill="FFFFFF"/>
        </w:rPr>
        <w:t>1</w:t>
      </w:r>
      <w:r>
        <w:rPr>
          <w:rFonts w:ascii="仿宋" w:hAnsi="仿宋" w:eastAsia="仿宋"/>
          <w:b/>
          <w:color w:val="0F1115"/>
          <w:sz w:val="32"/>
          <w:szCs w:val="32"/>
          <w:shd w:val="clear" w:color="auto" w:fill="FFFFFF"/>
        </w:rPr>
        <w:t>00分）</w:t>
      </w:r>
    </w:p>
    <w:p w14:paraId="1AC79B34">
      <w:pPr>
        <w:widowControl/>
        <w:shd w:val="clear" w:color="auto" w:fill="FFFFFF"/>
        <w:contextualSpacing/>
        <w:jc w:val="left"/>
        <w:rPr>
          <w:rFonts w:ascii="仿宋" w:hAnsi="仿宋" w:eastAsia="仿宋"/>
          <w:color w:val="0F1115"/>
          <w:sz w:val="32"/>
          <w:szCs w:val="32"/>
          <w:shd w:val="clear" w:color="auto" w:fill="FFFFFF"/>
        </w:rPr>
      </w:pPr>
      <w:r>
        <w:rPr>
          <w:rFonts w:ascii="仿宋" w:hAnsi="仿宋" w:eastAsia="仿宋"/>
          <w:color w:val="0F1115"/>
          <w:sz w:val="32"/>
          <w:szCs w:val="32"/>
          <w:shd w:val="clear" w:color="auto" w:fill="FFFFFF"/>
        </w:rPr>
        <w:t>项目名称：</w:t>
      </w:r>
      <w:r>
        <w:rPr>
          <w:rFonts w:hint="eastAsia" w:ascii="仿宋" w:hAnsi="仿宋" w:eastAsia="仿宋"/>
          <w:color w:val="0F1115"/>
          <w:sz w:val="32"/>
          <w:szCs w:val="32"/>
          <w:shd w:val="clear" w:color="auto" w:fill="FFFFFF"/>
        </w:rPr>
        <w:t>北京口腔医院杀毒软件服务采购项目</w:t>
      </w:r>
    </w:p>
    <w:tbl>
      <w:tblPr>
        <w:tblStyle w:val="2"/>
        <w:tblW w:w="4841"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2"/>
        <w:gridCol w:w="1264"/>
        <w:gridCol w:w="5304"/>
        <w:gridCol w:w="961"/>
      </w:tblGrid>
      <w:tr w14:paraId="554950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9" w:hRule="atLeast"/>
          <w:jc w:val="center"/>
        </w:trPr>
        <w:tc>
          <w:tcPr>
            <w:tcW w:w="438" w:type="pct"/>
            <w:vAlign w:val="center"/>
          </w:tcPr>
          <w:p w14:paraId="62239C9C">
            <w:pPr>
              <w:pStyle w:val="4"/>
              <w:spacing w:before="2" w:line="289" w:lineRule="exact"/>
              <w:ind w:left="189"/>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序号</w:t>
            </w:r>
          </w:p>
        </w:tc>
        <w:tc>
          <w:tcPr>
            <w:tcW w:w="766" w:type="pct"/>
            <w:vAlign w:val="center"/>
          </w:tcPr>
          <w:p w14:paraId="0B3BF713">
            <w:pPr>
              <w:pStyle w:val="4"/>
              <w:spacing w:before="2" w:line="289" w:lineRule="exact"/>
              <w:ind w:left="189"/>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评分因素</w:t>
            </w:r>
          </w:p>
        </w:tc>
        <w:tc>
          <w:tcPr>
            <w:tcW w:w="3214" w:type="pct"/>
            <w:vAlign w:val="center"/>
          </w:tcPr>
          <w:p w14:paraId="168244AF">
            <w:pPr>
              <w:pStyle w:val="4"/>
              <w:spacing w:before="2" w:line="289" w:lineRule="exact"/>
              <w:ind w:left="189"/>
              <w:rPr>
                <w:color w:val="000000" w:themeColor="text1"/>
                <w:szCs w:val="24"/>
                <w14:textFill>
                  <w14:solidFill>
                    <w14:schemeClr w14:val="tx1"/>
                  </w14:solidFill>
                </w14:textFill>
              </w:rPr>
            </w:pPr>
            <w:r>
              <w:rPr>
                <w:color w:val="000000" w:themeColor="text1"/>
                <w:szCs w:val="24"/>
                <w14:textFill>
                  <w14:solidFill>
                    <w14:schemeClr w14:val="tx1"/>
                  </w14:solidFill>
                </w14:textFill>
              </w:rPr>
              <w:t>评分标准</w:t>
            </w:r>
          </w:p>
        </w:tc>
        <w:tc>
          <w:tcPr>
            <w:tcW w:w="582" w:type="pct"/>
            <w:vAlign w:val="center"/>
          </w:tcPr>
          <w:p w14:paraId="1E91AA91">
            <w:pPr>
              <w:pStyle w:val="4"/>
              <w:spacing w:before="2" w:line="289" w:lineRule="exact"/>
              <w:ind w:left="189"/>
              <w:rPr>
                <w:color w:val="000000" w:themeColor="text1"/>
                <w:szCs w:val="24"/>
                <w14:textFill>
                  <w14:solidFill>
                    <w14:schemeClr w14:val="tx1"/>
                  </w14:solidFill>
                </w14:textFill>
              </w:rPr>
            </w:pPr>
            <w:r>
              <w:rPr>
                <w:color w:val="000000" w:themeColor="text1"/>
                <w:szCs w:val="24"/>
                <w14:textFill>
                  <w14:solidFill>
                    <w14:schemeClr w14:val="tx1"/>
                  </w14:solidFill>
                </w14:textFill>
              </w:rPr>
              <w:t>分值</w:t>
            </w:r>
          </w:p>
        </w:tc>
      </w:tr>
      <w:tr w14:paraId="34BFDD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 w:hRule="atLeast"/>
          <w:jc w:val="center"/>
        </w:trPr>
        <w:tc>
          <w:tcPr>
            <w:tcW w:w="438" w:type="pct"/>
            <w:vAlign w:val="center"/>
          </w:tcPr>
          <w:p w14:paraId="78B42131">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1</w:t>
            </w:r>
          </w:p>
        </w:tc>
        <w:tc>
          <w:tcPr>
            <w:tcW w:w="766" w:type="pct"/>
            <w:vAlign w:val="center"/>
          </w:tcPr>
          <w:p w14:paraId="316A529B">
            <w:pPr>
              <w:pStyle w:val="4"/>
              <w:spacing w:before="2" w:line="289" w:lineRule="exact"/>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投标报价</w:t>
            </w:r>
          </w:p>
        </w:tc>
        <w:tc>
          <w:tcPr>
            <w:tcW w:w="3214" w:type="pct"/>
            <w:vAlign w:val="center"/>
          </w:tcPr>
          <w:p w14:paraId="56EFDD3F">
            <w:pPr>
              <w:pStyle w:val="4"/>
              <w:rPr>
                <w:color w:val="000000" w:themeColor="text1"/>
                <w:szCs w:val="24"/>
                <w14:textFill>
                  <w14:solidFill>
                    <w14:schemeClr w14:val="tx1"/>
                  </w14:solidFill>
                </w14:textFill>
              </w:rPr>
            </w:pPr>
            <w:r>
              <w:rPr>
                <w:color w:val="000000" w:themeColor="text1"/>
                <w:szCs w:val="24"/>
                <w14:textFill>
                  <w14:solidFill>
                    <w14:schemeClr w14:val="tx1"/>
                  </w14:solidFill>
                </w14:textFill>
              </w:rPr>
              <w:t>满足招标文件要求且投标价格最低的投标报价为评标基准价，其价格分为满分。其他投标人的价格分统一按照下列公式计算：</w:t>
            </w:r>
          </w:p>
          <w:p w14:paraId="00391007">
            <w:pPr>
              <w:pStyle w:val="4"/>
              <w:rPr>
                <w:color w:val="000000" w:themeColor="text1"/>
                <w:szCs w:val="24"/>
                <w14:textFill>
                  <w14:solidFill>
                    <w14:schemeClr w14:val="tx1"/>
                  </w14:solidFill>
                </w14:textFill>
              </w:rPr>
            </w:pPr>
            <w:r>
              <w:rPr>
                <w:color w:val="000000" w:themeColor="text1"/>
                <w:szCs w:val="24"/>
                <w14:textFill>
                  <w14:solidFill>
                    <w14:schemeClr w14:val="tx1"/>
                  </w14:solidFill>
                </w14:textFill>
              </w:rPr>
              <w:t>投标报价得分＝（评标基准价/投标报价）×</w:t>
            </w:r>
            <w:r>
              <w:rPr>
                <w:rFonts w:hint="eastAsia"/>
                <w:color w:val="000000" w:themeColor="text1"/>
                <w:szCs w:val="24"/>
                <w:lang w:val="en-US" w:eastAsia="zh-CN"/>
                <w14:textFill>
                  <w14:solidFill>
                    <w14:schemeClr w14:val="tx1"/>
                  </w14:solidFill>
                </w14:textFill>
              </w:rPr>
              <w:t>10</w:t>
            </w:r>
            <w:r>
              <w:rPr>
                <w:color w:val="000000" w:themeColor="text1"/>
                <w:szCs w:val="24"/>
                <w14:textFill>
                  <w14:solidFill>
                    <w14:schemeClr w14:val="tx1"/>
                  </w14:solidFill>
                </w14:textFill>
              </w:rPr>
              <w:t>。</w:t>
            </w:r>
          </w:p>
        </w:tc>
        <w:tc>
          <w:tcPr>
            <w:tcW w:w="582" w:type="pct"/>
            <w:vAlign w:val="center"/>
          </w:tcPr>
          <w:p w14:paraId="28287FE9">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10</w:t>
            </w:r>
          </w:p>
        </w:tc>
      </w:tr>
      <w:tr w14:paraId="3BBD7C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 w:hRule="atLeast"/>
          <w:jc w:val="center"/>
        </w:trPr>
        <w:tc>
          <w:tcPr>
            <w:tcW w:w="438" w:type="pct"/>
            <w:vAlign w:val="center"/>
          </w:tcPr>
          <w:p w14:paraId="3F9971B2">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2</w:t>
            </w:r>
          </w:p>
        </w:tc>
        <w:tc>
          <w:tcPr>
            <w:tcW w:w="766" w:type="pct"/>
            <w:vAlign w:val="center"/>
          </w:tcPr>
          <w:p w14:paraId="7CAB7F45">
            <w:pPr>
              <w:pStyle w:val="4"/>
              <w:spacing w:before="2" w:line="289" w:lineRule="exact"/>
              <w:jc w:val="center"/>
              <w:rPr>
                <w:color w:val="000000" w:themeColor="text1"/>
                <w:szCs w:val="24"/>
                <w14:textFill>
                  <w14:solidFill>
                    <w14:schemeClr w14:val="tx1"/>
                  </w14:solidFill>
                </w14:textFill>
              </w:rPr>
            </w:pPr>
            <w:r>
              <w:rPr>
                <w:rFonts w:hint="eastAsia"/>
                <w:color w:val="000000" w:themeColor="text1"/>
                <w14:textFill>
                  <w14:solidFill>
                    <w14:schemeClr w14:val="tx1"/>
                  </w14:solidFill>
                </w14:textFill>
              </w:rPr>
              <w:t>同类项目实施案例</w:t>
            </w:r>
          </w:p>
        </w:tc>
        <w:tc>
          <w:tcPr>
            <w:tcW w:w="3214" w:type="pct"/>
            <w:vAlign w:val="center"/>
          </w:tcPr>
          <w:p w14:paraId="5A3E7074">
            <w:pPr>
              <w:ind w:firstLine="28"/>
              <w:contextualSpacing/>
              <w:rPr>
                <w:rFonts w:ascii="Times New Roman" w:hAnsi="Times New Roman"/>
                <w:color w:val="000000" w:themeColor="text1"/>
                <w14:textFill>
                  <w14:solidFill>
                    <w14:schemeClr w14:val="tx1"/>
                  </w14:solidFill>
                </w14:textFill>
              </w:rPr>
            </w:pPr>
            <w:r>
              <w:rPr>
                <w:rFonts w:ascii="Times New Roman" w:hAnsi="Times New Roman"/>
                <w:snapToGrid w:val="0"/>
                <w:color w:val="000000" w:themeColor="text1"/>
                <w:szCs w:val="21"/>
                <w14:textFill>
                  <w14:solidFill>
                    <w14:schemeClr w14:val="tx1"/>
                  </w14:solidFill>
                </w14:textFill>
              </w:rPr>
              <w:t>投标人</w:t>
            </w:r>
            <w:r>
              <w:rPr>
                <w:rFonts w:hint="eastAsia" w:ascii="Times New Roman" w:hAnsi="Times New Roman"/>
                <w:color w:val="000000" w:themeColor="text1"/>
                <w14:textFill>
                  <w14:solidFill>
                    <w14:schemeClr w14:val="tx1"/>
                  </w14:solidFill>
                </w14:textFill>
              </w:rPr>
              <w:t>需提供</w:t>
            </w:r>
            <w:r>
              <w:rPr>
                <w:rFonts w:ascii="Times New Roman" w:hAnsi="Times New Roman"/>
                <w:color w:val="000000" w:themeColor="text1"/>
                <w14:textFill>
                  <w14:solidFill>
                    <w14:schemeClr w14:val="tx1"/>
                  </w14:solidFill>
                </w14:textFill>
              </w:rPr>
              <w:t>2023</w:t>
            </w:r>
            <w:r>
              <w:rPr>
                <w:rFonts w:hint="eastAsia" w:ascii="Times New Roman" w:hAnsi="Times New Roman"/>
                <w:color w:val="000000" w:themeColor="text1"/>
                <w14:textFill>
                  <w14:solidFill>
                    <w14:schemeClr w14:val="tx1"/>
                  </w14:solidFill>
                </w14:textFill>
              </w:rPr>
              <w:t>年</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月</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日至今同类项目实施案例。每提供</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个有效业绩得</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分，以此类推，满分为</w:t>
            </w:r>
            <w:r>
              <w:rPr>
                <w:rFonts w:ascii="Times New Roman" w:hAnsi="Times New Roman"/>
                <w:color w:val="000000" w:themeColor="text1"/>
                <w14:textFill>
                  <w14:solidFill>
                    <w14:schemeClr w14:val="tx1"/>
                  </w14:solidFill>
                </w14:textFill>
              </w:rPr>
              <w:t>10</w:t>
            </w:r>
            <w:r>
              <w:rPr>
                <w:rFonts w:hint="eastAsia" w:ascii="Times New Roman" w:hAnsi="Times New Roman"/>
                <w:color w:val="000000" w:themeColor="text1"/>
                <w14:textFill>
                  <w14:solidFill>
                    <w14:schemeClr w14:val="tx1"/>
                  </w14:solidFill>
                </w14:textFill>
              </w:rPr>
              <w:t>分。</w:t>
            </w:r>
          </w:p>
          <w:p w14:paraId="286CEBAF">
            <w:pPr>
              <w:pStyle w:val="4"/>
              <w:rPr>
                <w:color w:val="000000" w:themeColor="text1"/>
                <w:szCs w:val="24"/>
                <w14:textFill>
                  <w14:solidFill>
                    <w14:schemeClr w14:val="tx1"/>
                  </w14:solidFill>
                </w14:textFill>
              </w:rPr>
            </w:pPr>
            <w:r>
              <w:rPr>
                <w:rFonts w:hint="eastAsia"/>
                <w:color w:val="000000" w:themeColor="text1"/>
                <w14:textFill>
                  <w14:solidFill>
                    <w14:schemeClr w14:val="tx1"/>
                  </w14:solidFill>
                </w14:textFill>
              </w:rPr>
              <w:t>注：需附合同关键页复印件（包括合同首页、主要服务内容页和双方签字盖章页），未按规定提供合同复印件的不得分。</w:t>
            </w:r>
          </w:p>
        </w:tc>
        <w:tc>
          <w:tcPr>
            <w:tcW w:w="582" w:type="pct"/>
            <w:vAlign w:val="center"/>
          </w:tcPr>
          <w:p w14:paraId="759A4E5F">
            <w:pPr>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10</w:t>
            </w:r>
          </w:p>
        </w:tc>
      </w:tr>
      <w:tr w14:paraId="3F665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 w:hRule="atLeast"/>
          <w:jc w:val="center"/>
        </w:trPr>
        <w:tc>
          <w:tcPr>
            <w:tcW w:w="438" w:type="pct"/>
            <w:vAlign w:val="center"/>
          </w:tcPr>
          <w:p w14:paraId="6F59AEC4">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3</w:t>
            </w:r>
          </w:p>
        </w:tc>
        <w:tc>
          <w:tcPr>
            <w:tcW w:w="766" w:type="pct"/>
            <w:vAlign w:val="center"/>
          </w:tcPr>
          <w:p w14:paraId="5E927602">
            <w:pPr>
              <w:pStyle w:val="4"/>
              <w:spacing w:before="2" w:line="289" w:lineRule="exact"/>
              <w:jc w:val="cente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投标人</w:t>
            </w:r>
            <w:r>
              <w:rPr>
                <w:rFonts w:hint="eastAsia" w:ascii="宋体" w:hAnsi="宋体"/>
                <w:bCs/>
                <w:color w:val="000000" w:themeColor="text1"/>
                <w:szCs w:val="21"/>
                <w14:textFill>
                  <w14:solidFill>
                    <w14:schemeClr w14:val="tx1"/>
                  </w14:solidFill>
                </w14:textFill>
              </w:rPr>
              <w:t>证书</w:t>
            </w:r>
          </w:p>
        </w:tc>
        <w:tc>
          <w:tcPr>
            <w:tcW w:w="3214" w:type="pct"/>
            <w:vAlign w:val="center"/>
          </w:tcPr>
          <w:p w14:paraId="33C61EA4">
            <w:pPr>
              <w:ind w:firstLine="28"/>
              <w:contextualSpacing/>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投标人具有以下资质证书。</w:t>
            </w:r>
          </w:p>
          <w:p w14:paraId="52925357">
            <w:pPr>
              <w:ind w:firstLine="28"/>
              <w:contextualSpacing/>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1.具有有效的质量管理体系认证证书得</w:t>
            </w:r>
            <w:r>
              <w:rPr>
                <w:rFonts w:ascii="Times New Roman" w:hAnsi="Times New Roman"/>
                <w:color w:val="000000" w:themeColor="text1"/>
                <w14:textFill>
                  <w14:solidFill>
                    <w14:schemeClr w14:val="tx1"/>
                  </w14:solidFill>
                </w14:textFill>
              </w:rPr>
              <w:t>0.</w:t>
            </w:r>
            <w:r>
              <w:rPr>
                <w:rFonts w:hint="eastAsia" w:ascii="Times New Roman" w:hAnsi="Times New Roman"/>
                <w:color w:val="000000" w:themeColor="text1"/>
                <w:lang w:val="en-US" w:eastAsia="zh-CN"/>
                <w14:textFill>
                  <w14:solidFill>
                    <w14:schemeClr w14:val="tx1"/>
                  </w14:solidFill>
                </w14:textFill>
              </w:rPr>
              <w:t>1</w:t>
            </w:r>
            <w:r>
              <w:rPr>
                <w:rFonts w:hint="eastAsia" w:ascii="Times New Roman" w:hAnsi="Times New Roman"/>
                <w:color w:val="000000" w:themeColor="text1"/>
                <w14:textFill>
                  <w14:solidFill>
                    <w14:schemeClr w14:val="tx1"/>
                  </w14:solidFill>
                </w14:textFill>
              </w:rPr>
              <w:t>分；</w:t>
            </w:r>
          </w:p>
          <w:p w14:paraId="529421AC">
            <w:pPr>
              <w:ind w:firstLine="28"/>
              <w:contextualSpacing/>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2.具有有效的信息技术服务管理体系认证证书得1分；</w:t>
            </w:r>
          </w:p>
          <w:p w14:paraId="17DCA0FF">
            <w:pPr>
              <w:ind w:firstLine="28"/>
              <w:contextualSpacing/>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3.具有有效的信息安全管理体系认证证书得1分；</w:t>
            </w:r>
          </w:p>
          <w:p w14:paraId="0619247E">
            <w:pPr>
              <w:ind w:firstLine="28"/>
              <w:contextualSpacing/>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.为保障服务质量，投标人应具有有效的信息安全服务资质认证证书（安全运维），得1分；</w:t>
            </w:r>
          </w:p>
          <w:p w14:paraId="0D999EB0">
            <w:pPr>
              <w:ind w:firstLine="28"/>
              <w:contextualSpacing/>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注：需提供有效资质证书复印件并加盖公章，未提供不得分。</w:t>
            </w:r>
          </w:p>
        </w:tc>
        <w:tc>
          <w:tcPr>
            <w:tcW w:w="582" w:type="pct"/>
            <w:vAlign w:val="center"/>
          </w:tcPr>
          <w:p w14:paraId="59698028">
            <w:pPr>
              <w:jc w:val="center"/>
              <w:rPr>
                <w:rFonts w:hint="eastAsia" w:ascii="Times New Roman" w:hAnsi="Times New Roman" w:eastAsia="仿宋"/>
                <w:color w:val="000000" w:themeColor="text1"/>
                <w:lang w:eastAsia="zh-CN"/>
                <w14:textFill>
                  <w14:solidFill>
                    <w14:schemeClr w14:val="tx1"/>
                  </w14:solidFill>
                </w14:textFill>
              </w:rPr>
            </w:pPr>
            <w:r>
              <w:rPr>
                <w:rFonts w:ascii="Times New Roman" w:hAnsi="Times New Roman" w:eastAsia="仿宋"/>
                <w:color w:val="000000" w:themeColor="text1"/>
                <w14:textFill>
                  <w14:solidFill>
                    <w14:schemeClr w14:val="tx1"/>
                  </w14:solidFill>
                </w14:textFill>
              </w:rPr>
              <w:t>3.</w:t>
            </w:r>
            <w:r>
              <w:rPr>
                <w:rFonts w:hint="eastAsia" w:ascii="Times New Roman" w:hAnsi="Times New Roman" w:eastAsia="仿宋"/>
                <w:color w:val="000000" w:themeColor="text1"/>
                <w:lang w:val="en-US" w:eastAsia="zh-CN"/>
                <w14:textFill>
                  <w14:solidFill>
                    <w14:schemeClr w14:val="tx1"/>
                  </w14:solidFill>
                </w14:textFill>
              </w:rPr>
              <w:t>1</w:t>
            </w:r>
          </w:p>
        </w:tc>
      </w:tr>
      <w:tr w14:paraId="445739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 w:hRule="atLeast"/>
          <w:jc w:val="center"/>
        </w:trPr>
        <w:tc>
          <w:tcPr>
            <w:tcW w:w="438" w:type="pct"/>
            <w:vAlign w:val="center"/>
          </w:tcPr>
          <w:p w14:paraId="551F5D42">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4</w:t>
            </w:r>
          </w:p>
        </w:tc>
        <w:tc>
          <w:tcPr>
            <w:tcW w:w="766" w:type="pct"/>
            <w:vAlign w:val="center"/>
          </w:tcPr>
          <w:p w14:paraId="2F499CEC">
            <w:pPr>
              <w:pStyle w:val="4"/>
              <w:spacing w:before="2" w:line="289" w:lineRule="exact"/>
              <w:jc w:val="center"/>
              <w:rPr>
                <w:color w:val="000000" w:themeColor="text1"/>
                <w14:textFill>
                  <w14:solidFill>
                    <w14:schemeClr w14:val="tx1"/>
                  </w14:solidFill>
                </w14:textFill>
              </w:rPr>
            </w:pPr>
            <w:r>
              <w:rPr>
                <w:rFonts w:hint="eastAsia" w:ascii="宋体" w:hAnsi="宋体"/>
                <w:bCs/>
                <w:color w:val="000000" w:themeColor="text1"/>
                <w:szCs w:val="21"/>
                <w14:textFill>
                  <w14:solidFill>
                    <w14:schemeClr w14:val="tx1"/>
                  </w14:solidFill>
                </w14:textFill>
              </w:rPr>
              <w:t>对技术规格要求的响应程度</w:t>
            </w:r>
          </w:p>
        </w:tc>
        <w:tc>
          <w:tcPr>
            <w:tcW w:w="3214" w:type="pct"/>
            <w:vAlign w:val="center"/>
          </w:tcPr>
          <w:p w14:paraId="3615CB73">
            <w:pPr>
              <w:ind w:firstLine="28"/>
              <w:contextualSpacing/>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投标人须对采购需求1、维护内容要求2、维保服务要求的总体要求和功能参数响应偏离情况逐一应答。</w:t>
            </w:r>
          </w:p>
          <w:p w14:paraId="7D2AB9B7">
            <w:pPr>
              <w:ind w:firstLine="28"/>
              <w:contextualSpacing/>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打“#</w:t>
            </w:r>
            <w:r>
              <w:rPr>
                <w:rFonts w:ascii="Times New Roman" w:hAnsi="Times New Roman"/>
                <w:color w:val="000000" w:themeColor="text1"/>
                <w14:textFill>
                  <w14:solidFill>
                    <w14:schemeClr w14:val="tx1"/>
                  </w14:solidFill>
                </w14:textFill>
              </w:rPr>
              <w:t>”号标记的为重点要求项</w:t>
            </w: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需</w:t>
            </w:r>
            <w:r>
              <w:rPr>
                <w:rFonts w:hint="eastAsia" w:ascii="Times New Roman" w:hAnsi="Times New Roman"/>
                <w:color w:val="000000" w:themeColor="text1"/>
                <w14:textFill>
                  <w14:solidFill>
                    <w14:schemeClr w14:val="tx1"/>
                  </w14:solidFill>
                </w14:textFill>
              </w:rPr>
              <w:t>提供相关证明文件，证明文件包括但不限于第三方检测报告或功能截图证明或资质证书或公开发布的官方网站或白皮书等</w:t>
            </w:r>
            <w:r>
              <w:rPr>
                <w:rFonts w:ascii="Times New Roman" w:hAnsi="Times New Roman"/>
                <w:color w:val="000000" w:themeColor="text1"/>
                <w14:textFill>
                  <w14:solidFill>
                    <w14:schemeClr w14:val="tx1"/>
                  </w14:solidFill>
                </w14:textFill>
              </w:rPr>
              <w:t>。全部满足得</w:t>
            </w:r>
            <w:r>
              <w:rPr>
                <w:rFonts w:hint="eastAsia" w:ascii="Times New Roman" w:hAnsi="Times New Roman"/>
                <w:color w:val="000000" w:themeColor="text1"/>
                <w14:textFill>
                  <w14:solidFill>
                    <w14:schemeClr w14:val="tx1"/>
                  </w14:solidFill>
                </w14:textFill>
              </w:rPr>
              <w:t>31</w:t>
            </w:r>
            <w:r>
              <w:rPr>
                <w:rFonts w:hint="eastAsia" w:ascii="Times New Roman" w:hAnsi="Times New Roman"/>
                <w:color w:val="000000" w:themeColor="text1"/>
                <w:lang w:val="en-US" w:eastAsia="zh-CN"/>
                <w14:textFill>
                  <w14:solidFill>
                    <w14:schemeClr w14:val="tx1"/>
                  </w14:solidFill>
                </w14:textFill>
              </w:rPr>
              <w:t>.9</w:t>
            </w:r>
            <w:r>
              <w:rPr>
                <w:rFonts w:ascii="Times New Roman" w:hAnsi="Times New Roman"/>
                <w:color w:val="000000" w:themeColor="text1"/>
                <w14:textFill>
                  <w14:solidFill>
                    <w14:schemeClr w14:val="tx1"/>
                  </w14:solidFill>
                </w14:textFill>
              </w:rPr>
              <w:t>分。</w:t>
            </w:r>
          </w:p>
          <w:p w14:paraId="6B23917F">
            <w:pPr>
              <w:ind w:firstLine="28"/>
              <w:contextualSpacing/>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注：“#”</w:t>
            </w:r>
            <w:r>
              <w:rPr>
                <w:rFonts w:ascii="Times New Roman" w:hAnsi="Times New Roman"/>
                <w:color w:val="000000" w:themeColor="text1"/>
                <w14:textFill>
                  <w14:solidFill>
                    <w14:schemeClr w14:val="tx1"/>
                  </w14:solidFill>
                </w14:textFill>
              </w:rPr>
              <w:t>号标记的不能实质性满足的,一项扣</w:t>
            </w:r>
            <w:r>
              <w:rPr>
                <w:rFonts w:hint="eastAsia" w:ascii="Times New Roman" w:hAnsi="Times New Roman"/>
                <w:color w:val="000000" w:themeColor="text1"/>
                <w14:textFill>
                  <w14:solidFill>
                    <w14:schemeClr w14:val="tx1"/>
                  </w14:solidFill>
                </w14:textFill>
              </w:rPr>
              <w:t>1</w:t>
            </w:r>
            <w:r>
              <w:rPr>
                <w:rFonts w:ascii="Times New Roman" w:hAnsi="Times New Roman"/>
                <w:color w:val="000000" w:themeColor="text1"/>
                <w14:textFill>
                  <w14:solidFill>
                    <w14:schemeClr w14:val="tx1"/>
                  </w14:solidFill>
                </w14:textFill>
              </w:rPr>
              <w:t>分，</w:t>
            </w:r>
            <w:r>
              <w:rPr>
                <w:rFonts w:hint="eastAsia" w:ascii="Times New Roman" w:hAnsi="Times New Roman"/>
                <w:color w:val="000000" w:themeColor="text1"/>
                <w14:textFill>
                  <w14:solidFill>
                    <w14:schemeClr w14:val="tx1"/>
                  </w14:solidFill>
                </w14:textFill>
              </w:rPr>
              <w:t>共计26项，</w:t>
            </w:r>
            <w:r>
              <w:rPr>
                <w:rFonts w:ascii="Times New Roman" w:hAnsi="Times New Roman"/>
                <w:color w:val="000000" w:themeColor="text1"/>
                <w14:textFill>
                  <w14:solidFill>
                    <w14:schemeClr w14:val="tx1"/>
                  </w14:solidFill>
                </w14:textFill>
              </w:rPr>
              <w:t>非“</w:t>
            </w: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号标记的不能实质性满足的，一项扣</w:t>
            </w:r>
            <w:r>
              <w:rPr>
                <w:rFonts w:hint="eastAsia" w:ascii="Times New Roman" w:hAnsi="Times New Roman"/>
                <w:color w:val="000000" w:themeColor="text1"/>
                <w14:textFill>
                  <w14:solidFill>
                    <w14:schemeClr w14:val="tx1"/>
                  </w14:solidFill>
                </w14:textFill>
              </w:rPr>
              <w:t>0.1</w:t>
            </w:r>
            <w:r>
              <w:rPr>
                <w:rFonts w:ascii="Times New Roman" w:hAnsi="Times New Roman"/>
                <w:color w:val="000000" w:themeColor="text1"/>
                <w14:textFill>
                  <w14:solidFill>
                    <w14:schemeClr w14:val="tx1"/>
                  </w14:solidFill>
                </w14:textFill>
              </w:rPr>
              <w:t>分，</w:t>
            </w:r>
            <w:r>
              <w:rPr>
                <w:rFonts w:hint="eastAsia" w:ascii="Times New Roman" w:hAnsi="Times New Roman"/>
                <w:color w:val="000000" w:themeColor="text1"/>
                <w14:textFill>
                  <w14:solidFill>
                    <w14:schemeClr w14:val="tx1"/>
                  </w14:solidFill>
                </w14:textFill>
              </w:rPr>
              <w:t>共计5</w:t>
            </w:r>
            <w:r>
              <w:rPr>
                <w:rFonts w:hint="eastAsia" w:ascii="Times New Roman" w:hAnsi="Times New Roman"/>
                <w:color w:val="000000" w:themeColor="text1"/>
                <w:lang w:val="en-US" w:eastAsia="zh-CN"/>
                <w14:textFill>
                  <w14:solidFill>
                    <w14:schemeClr w14:val="tx1"/>
                  </w14:solidFill>
                </w14:textFill>
              </w:rPr>
              <w:t>9</w:t>
            </w:r>
            <w:r>
              <w:rPr>
                <w:rFonts w:hint="eastAsia" w:ascii="Times New Roman" w:hAnsi="Times New Roman"/>
                <w:color w:val="000000" w:themeColor="text1"/>
                <w14:textFill>
                  <w14:solidFill>
                    <w14:schemeClr w14:val="tx1"/>
                  </w14:solidFill>
                </w14:textFill>
              </w:rPr>
              <w:t>项</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扣完为止。</w:t>
            </w:r>
          </w:p>
        </w:tc>
        <w:tc>
          <w:tcPr>
            <w:tcW w:w="582" w:type="pct"/>
            <w:vAlign w:val="center"/>
          </w:tcPr>
          <w:p w14:paraId="4E91A441">
            <w:pPr>
              <w:jc w:val="center"/>
              <w:rPr>
                <w:rFonts w:hint="eastAsia" w:ascii="Times New Roman" w:hAnsi="Times New Roman" w:eastAsia="仿宋"/>
                <w:color w:val="000000" w:themeColor="text1"/>
                <w:lang w:eastAsia="zh-CN"/>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31.</w:t>
            </w:r>
            <w:r>
              <w:rPr>
                <w:rFonts w:hint="eastAsia" w:ascii="Times New Roman" w:hAnsi="Times New Roman" w:eastAsia="仿宋"/>
                <w:color w:val="000000" w:themeColor="text1"/>
                <w:lang w:val="en-US" w:eastAsia="zh-CN"/>
                <w14:textFill>
                  <w14:solidFill>
                    <w14:schemeClr w14:val="tx1"/>
                  </w14:solidFill>
                </w14:textFill>
              </w:rPr>
              <w:t>9</w:t>
            </w:r>
          </w:p>
        </w:tc>
      </w:tr>
      <w:tr w14:paraId="7E7B84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 w:hRule="atLeast"/>
          <w:jc w:val="center"/>
        </w:trPr>
        <w:tc>
          <w:tcPr>
            <w:tcW w:w="438" w:type="pct"/>
            <w:vAlign w:val="center"/>
          </w:tcPr>
          <w:p w14:paraId="6152B9FB">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5</w:t>
            </w:r>
          </w:p>
        </w:tc>
        <w:tc>
          <w:tcPr>
            <w:tcW w:w="766" w:type="pct"/>
            <w:vAlign w:val="center"/>
          </w:tcPr>
          <w:p w14:paraId="3DB5B9F6">
            <w:pPr>
              <w:pStyle w:val="4"/>
              <w:spacing w:before="2" w:line="289" w:lineRule="exact"/>
              <w:jc w:val="center"/>
              <w:rPr>
                <w:color w:val="000000" w:themeColor="text1"/>
                <w:szCs w:val="24"/>
                <w14:textFill>
                  <w14:solidFill>
                    <w14:schemeClr w14:val="tx1"/>
                  </w14:solidFill>
                </w14:textFill>
              </w:rPr>
            </w:pPr>
            <w:r>
              <w:rPr>
                <w:rFonts w:hint="eastAsia"/>
                <w:szCs w:val="21"/>
              </w:rPr>
              <w:t>技术方案</w:t>
            </w:r>
          </w:p>
        </w:tc>
        <w:tc>
          <w:tcPr>
            <w:tcW w:w="3214" w:type="pct"/>
            <w:vAlign w:val="center"/>
          </w:tcPr>
          <w:p w14:paraId="7FABDBCB">
            <w:pPr>
              <w:rPr>
                <w:rFonts w:ascii="Times New Roman" w:hAnsi="Times New Roman"/>
                <w:szCs w:val="21"/>
              </w:rPr>
            </w:pPr>
            <w:r>
              <w:rPr>
                <w:rFonts w:hint="eastAsia" w:ascii="Times New Roman" w:hAnsi="Times New Roman"/>
                <w:szCs w:val="21"/>
              </w:rPr>
              <w:t>投标人根据采购需求提供技术方案，方案内容包含但不限于：至少包含①技术方案、②服务质量管理、③运维计划管理：</w:t>
            </w:r>
          </w:p>
          <w:p w14:paraId="7F1BFB3F">
            <w:pPr>
              <w:pStyle w:val="4"/>
              <w:rPr>
                <w:color w:val="000000" w:themeColor="text1"/>
                <w:szCs w:val="24"/>
                <w14:textFill>
                  <w14:solidFill>
                    <w14:schemeClr w14:val="tx1"/>
                  </w14:solidFill>
                </w14:textFill>
              </w:rPr>
            </w:pPr>
            <w:r>
              <w:rPr>
                <w:rFonts w:hint="eastAsia"/>
                <w:szCs w:val="21"/>
              </w:rPr>
              <w:t>方案内容详细，专门针对本项目，符合采购需求和实际情况视为符合；方案内容属于通用类，非专门针对本项目，部分符合实际情况视为部分符合；方案内容非专门针对本项目，不符合实际情况或未提供视为不符合。以上每一项符合得5分，部分符合得2分，不符合不得分，此项最高15分。</w:t>
            </w:r>
          </w:p>
        </w:tc>
        <w:tc>
          <w:tcPr>
            <w:tcW w:w="582" w:type="pct"/>
            <w:vAlign w:val="center"/>
          </w:tcPr>
          <w:p w14:paraId="6F828D81">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15</w:t>
            </w:r>
          </w:p>
        </w:tc>
      </w:tr>
      <w:tr w14:paraId="47D39E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 w:hRule="atLeast"/>
          <w:jc w:val="center"/>
        </w:trPr>
        <w:tc>
          <w:tcPr>
            <w:tcW w:w="438" w:type="pct"/>
            <w:vAlign w:val="center"/>
          </w:tcPr>
          <w:p w14:paraId="638A84FE">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6</w:t>
            </w:r>
          </w:p>
        </w:tc>
        <w:tc>
          <w:tcPr>
            <w:tcW w:w="766" w:type="pct"/>
            <w:vAlign w:val="center"/>
          </w:tcPr>
          <w:p w14:paraId="541CEB99">
            <w:pPr>
              <w:pStyle w:val="4"/>
              <w:spacing w:before="2" w:line="289" w:lineRule="exact"/>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应急处理 方案</w:t>
            </w:r>
          </w:p>
        </w:tc>
        <w:tc>
          <w:tcPr>
            <w:tcW w:w="3214" w:type="pct"/>
            <w:vAlign w:val="center"/>
          </w:tcPr>
          <w:p w14:paraId="748738ED">
            <w:pPr>
              <w:pStyle w:val="4"/>
              <w:rPr>
                <w:color w:val="000000" w:themeColor="text1"/>
                <w:szCs w:val="24"/>
                <w14:textFill>
                  <w14:solidFill>
                    <w14:schemeClr w14:val="tx1"/>
                  </w14:solidFill>
                </w14:textFill>
              </w:rPr>
            </w:pPr>
            <w:r>
              <w:rPr>
                <w:rFonts w:hint="eastAsia" w:ascii="宋体" w:hAnsi="宋体"/>
                <w:szCs w:val="24"/>
                <w:lang w:bidi="ar"/>
              </w:rPr>
              <w:t>根据投标人提供的应急响应方案进行评分，方案包括但不限于</w:t>
            </w:r>
            <w:r>
              <w:rPr>
                <w:rFonts w:hint="eastAsia"/>
                <w:szCs w:val="21"/>
              </w:rPr>
              <w:t>①</w:t>
            </w:r>
            <w:r>
              <w:rPr>
                <w:rFonts w:hint="eastAsia" w:ascii="宋体" w:hAnsi="宋体"/>
                <w:szCs w:val="24"/>
                <w:lang w:bidi="ar"/>
              </w:rPr>
              <w:t>应急响应方案、</w:t>
            </w:r>
            <w:r>
              <w:rPr>
                <w:rFonts w:hint="eastAsia"/>
                <w:szCs w:val="21"/>
              </w:rPr>
              <w:t>②</w:t>
            </w:r>
            <w:r>
              <w:rPr>
                <w:rFonts w:hint="eastAsia" w:ascii="宋体" w:hAnsi="宋体"/>
                <w:szCs w:val="24"/>
                <w:lang w:bidi="ar"/>
              </w:rPr>
              <w:t>风险管理措施等内容：</w:t>
            </w:r>
            <w:r>
              <w:rPr>
                <w:rFonts w:hint="eastAsia" w:ascii="宋体" w:hAnsi="宋体"/>
                <w:szCs w:val="24"/>
                <w:lang w:bidi="ar"/>
              </w:rPr>
              <w:br w:type="textWrapping"/>
            </w:r>
            <w:r>
              <w:rPr>
                <w:rFonts w:hint="eastAsia"/>
                <w:szCs w:val="21"/>
              </w:rPr>
              <w:t>方案内容详细，专门针对本项目，符合采购需求和实际情况视为符合；方案内容属于通用类，非专门针对本项目，部分符合实际情况视为部分符合；方案内容非专门针对本项目，不符合实际情况或未提供视为不符合。以上每一项符合得5分，部分符合得2分，不符合不得分，此项最高10分。</w:t>
            </w:r>
          </w:p>
        </w:tc>
        <w:tc>
          <w:tcPr>
            <w:tcW w:w="582" w:type="pct"/>
            <w:vAlign w:val="center"/>
          </w:tcPr>
          <w:p w14:paraId="029FCEF8">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10</w:t>
            </w:r>
          </w:p>
        </w:tc>
      </w:tr>
      <w:tr w14:paraId="48EBF1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8" w:hRule="atLeast"/>
          <w:jc w:val="center"/>
        </w:trPr>
        <w:tc>
          <w:tcPr>
            <w:tcW w:w="438" w:type="pct"/>
            <w:vAlign w:val="center"/>
          </w:tcPr>
          <w:p w14:paraId="1C7D9DAB">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7</w:t>
            </w:r>
          </w:p>
        </w:tc>
        <w:tc>
          <w:tcPr>
            <w:tcW w:w="766" w:type="pct"/>
            <w:vAlign w:val="center"/>
          </w:tcPr>
          <w:p w14:paraId="1A166DE8">
            <w:pPr>
              <w:widowControl/>
              <w:jc w:val="center"/>
              <w:rPr>
                <w:rFonts w:hint="eastAsia"/>
                <w:color w:val="000000" w:themeColor="text1"/>
                <w14:textFill>
                  <w14:solidFill>
                    <w14:schemeClr w14:val="tx1"/>
                  </w14:solidFill>
                </w14:textFill>
              </w:rPr>
            </w:pPr>
            <w:r>
              <w:rPr>
                <w:rFonts w:hint="eastAsia"/>
                <w:szCs w:val="24"/>
                <w:lang w:bidi="ar"/>
              </w:rPr>
              <w:t>培训方案</w:t>
            </w:r>
          </w:p>
        </w:tc>
        <w:tc>
          <w:tcPr>
            <w:tcW w:w="3214" w:type="pct"/>
            <w:vAlign w:val="center"/>
          </w:tcPr>
          <w:p w14:paraId="69832D61">
            <w:pPr>
              <w:rPr>
                <w:rFonts w:ascii="Times New Roman" w:hAnsi="Times New Roman"/>
                <w:color w:val="000000" w:themeColor="text1"/>
                <w14:textFill>
                  <w14:solidFill>
                    <w14:schemeClr w14:val="tx1"/>
                  </w14:solidFill>
                </w14:textFill>
              </w:rPr>
            </w:pPr>
            <w:r>
              <w:rPr>
                <w:rFonts w:hint="eastAsia"/>
                <w:szCs w:val="24"/>
                <w:lang w:bidi="ar"/>
              </w:rPr>
              <w:t>根据投标人提供的培训方案进行评分，方案包括</w:t>
            </w:r>
            <w:r>
              <w:rPr>
                <w:rFonts w:hint="eastAsia" w:ascii="Times New Roman" w:hAnsi="Times New Roman"/>
                <w:szCs w:val="21"/>
              </w:rPr>
              <w:t>①</w:t>
            </w:r>
            <w:r>
              <w:rPr>
                <w:rFonts w:hint="eastAsia"/>
                <w:szCs w:val="24"/>
                <w:lang w:bidi="ar"/>
              </w:rPr>
              <w:t>培训计划、</w:t>
            </w:r>
            <w:r>
              <w:rPr>
                <w:rFonts w:hint="eastAsia" w:ascii="Times New Roman" w:hAnsi="Times New Roman"/>
                <w:szCs w:val="21"/>
              </w:rPr>
              <w:t>②具体</w:t>
            </w:r>
            <w:r>
              <w:rPr>
                <w:rFonts w:hint="eastAsia"/>
                <w:szCs w:val="24"/>
                <w:lang w:bidi="ar"/>
              </w:rPr>
              <w:t>培训时间等内容：</w:t>
            </w:r>
            <w:r>
              <w:rPr>
                <w:rFonts w:hint="eastAsia"/>
                <w:szCs w:val="24"/>
                <w:lang w:bidi="ar"/>
              </w:rPr>
              <w:br w:type="textWrapping"/>
            </w:r>
            <w:r>
              <w:rPr>
                <w:rFonts w:hint="eastAsia" w:ascii="Times New Roman" w:hAnsi="Times New Roman"/>
                <w:szCs w:val="21"/>
              </w:rPr>
              <w:t>方案内容详细，专门针对本项目，符合采购需求和实际情况视为符合；方案内容属于通用类，非专门针对本项目，部分符合实际情况视为部分符合；方案内容非专门针对本项目，不符合实际情况或未提供视为不符合。以上每一项符合得</w:t>
            </w:r>
            <w:r>
              <w:rPr>
                <w:rFonts w:hint="eastAsia"/>
                <w:szCs w:val="21"/>
              </w:rPr>
              <w:t>4</w:t>
            </w:r>
            <w:r>
              <w:rPr>
                <w:rFonts w:hint="eastAsia" w:ascii="Times New Roman" w:hAnsi="Times New Roman"/>
                <w:szCs w:val="21"/>
              </w:rPr>
              <w:t>分，部分符合得</w:t>
            </w:r>
            <w:r>
              <w:rPr>
                <w:rFonts w:hint="eastAsia"/>
                <w:szCs w:val="21"/>
              </w:rPr>
              <w:t>2</w:t>
            </w:r>
            <w:r>
              <w:rPr>
                <w:rFonts w:hint="eastAsia" w:ascii="Times New Roman" w:hAnsi="Times New Roman"/>
                <w:szCs w:val="21"/>
              </w:rPr>
              <w:t>分，不符合不得分，此项最高</w:t>
            </w:r>
            <w:r>
              <w:rPr>
                <w:rFonts w:hint="eastAsia"/>
                <w:szCs w:val="21"/>
              </w:rPr>
              <w:t>8</w:t>
            </w:r>
            <w:r>
              <w:rPr>
                <w:rFonts w:hint="eastAsia" w:ascii="Times New Roman" w:hAnsi="Times New Roman"/>
                <w:szCs w:val="21"/>
              </w:rPr>
              <w:t>分。</w:t>
            </w:r>
          </w:p>
        </w:tc>
        <w:tc>
          <w:tcPr>
            <w:tcW w:w="582" w:type="pct"/>
            <w:vAlign w:val="center"/>
          </w:tcPr>
          <w:p w14:paraId="6870C2BE">
            <w:pPr>
              <w:jc w:val="cente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8</w:t>
            </w:r>
          </w:p>
        </w:tc>
      </w:tr>
      <w:tr w14:paraId="580E84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8" w:hRule="atLeast"/>
          <w:jc w:val="center"/>
        </w:trPr>
        <w:tc>
          <w:tcPr>
            <w:tcW w:w="438" w:type="pct"/>
            <w:vAlign w:val="center"/>
          </w:tcPr>
          <w:p w14:paraId="1E99CCD9">
            <w:pPr>
              <w:jc w:val="center"/>
              <w:rPr>
                <w:rFonts w:ascii="Times New Roman" w:hAnsi="Times New Roman" w:eastAsia="仿宋"/>
                <w:color w:val="000000" w:themeColor="text1"/>
                <w14:textFill>
                  <w14:solidFill>
                    <w14:schemeClr w14:val="tx1"/>
                  </w14:solidFill>
                </w14:textFill>
              </w:rPr>
            </w:pPr>
            <w:r>
              <w:rPr>
                <w:rFonts w:hint="eastAsia" w:ascii="Times New Roman" w:hAnsi="Times New Roman" w:eastAsia="仿宋"/>
                <w:color w:val="000000" w:themeColor="text1"/>
                <w14:textFill>
                  <w14:solidFill>
                    <w14:schemeClr w14:val="tx1"/>
                  </w14:solidFill>
                </w14:textFill>
              </w:rPr>
              <w:t>8</w:t>
            </w:r>
          </w:p>
        </w:tc>
        <w:tc>
          <w:tcPr>
            <w:tcW w:w="766" w:type="pct"/>
            <w:vAlign w:val="center"/>
          </w:tcPr>
          <w:p w14:paraId="0D546A0A">
            <w:pPr>
              <w:pStyle w:val="4"/>
              <w:spacing w:before="2" w:line="289" w:lineRule="exact"/>
              <w:jc w:val="center"/>
              <w:rPr>
                <w:bCs/>
              </w:rPr>
            </w:pPr>
            <w:r>
              <w:rPr>
                <w:rFonts w:hint="eastAsia"/>
                <w:bCs/>
              </w:rPr>
              <w:t>运维</w:t>
            </w:r>
            <w:r>
              <w:rPr>
                <w:bCs/>
              </w:rPr>
              <w:t>团队</w:t>
            </w:r>
            <w:r>
              <w:rPr>
                <w:rFonts w:hint="eastAsia"/>
                <w:bCs/>
              </w:rPr>
              <w:t>人员</w:t>
            </w:r>
          </w:p>
        </w:tc>
        <w:tc>
          <w:tcPr>
            <w:tcW w:w="3214" w:type="pct"/>
            <w:vAlign w:val="center"/>
          </w:tcPr>
          <w:p w14:paraId="72A81231">
            <w:pPr>
              <w:spacing w:line="360" w:lineRule="exact"/>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投标人根据</w:t>
            </w:r>
            <w:r>
              <w:rPr>
                <w:rFonts w:hint="eastAsia"/>
                <w:color w:val="000000" w:themeColor="text1"/>
                <w:szCs w:val="21"/>
                <w14:textFill>
                  <w14:solidFill>
                    <w14:schemeClr w14:val="tx1"/>
                  </w14:solidFill>
                </w14:textFill>
              </w:rPr>
              <w:t>采购需求提供</w:t>
            </w:r>
            <w:r>
              <w:rPr>
                <w:rFonts w:hint="eastAsia"/>
                <w:color w:val="000000" w:themeColor="text1"/>
                <w:szCs w:val="24"/>
                <w14:textFill>
                  <w14:solidFill>
                    <w14:schemeClr w14:val="tx1"/>
                  </w14:solidFill>
                </w14:textFill>
              </w:rPr>
              <w:t>本项目其他团队人员：</w:t>
            </w:r>
          </w:p>
          <w:p w14:paraId="779C95A3">
            <w:pPr>
              <w:pStyle w:val="5"/>
              <w:numPr>
                <w:ilvl w:val="0"/>
                <w:numId w:val="1"/>
              </w:numPr>
              <w:spacing w:line="360" w:lineRule="exact"/>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项目经理，具备信息系统集成管理（高级）、高级信息安全管理工程师、高级网络运维工程师、ISO</w:t>
            </w:r>
            <w:r>
              <w:rPr>
                <w:color w:val="000000" w:themeColor="text1"/>
                <w:szCs w:val="24"/>
                <w14:textFill>
                  <w14:solidFill>
                    <w14:schemeClr w14:val="tx1"/>
                  </w14:solidFill>
                </w14:textFill>
              </w:rPr>
              <w:t xml:space="preserve"> 27001</w:t>
            </w:r>
            <w:r>
              <w:rPr>
                <w:rFonts w:hint="eastAsia"/>
                <w:color w:val="000000" w:themeColor="text1"/>
                <w:szCs w:val="24"/>
                <w14:textFill>
                  <w14:solidFill>
                    <w14:schemeClr w14:val="tx1"/>
                  </w14:solidFill>
                </w14:textFill>
              </w:rPr>
              <w:t>认证、CISP证书，每提供一项得1分，最高得5分；</w:t>
            </w:r>
          </w:p>
          <w:p w14:paraId="197587E7">
            <w:pPr>
              <w:pStyle w:val="5"/>
              <w:numPr>
                <w:ilvl w:val="0"/>
                <w:numId w:val="1"/>
              </w:numPr>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至少提供</w:t>
            </w:r>
            <w:r>
              <w:rPr>
                <w:color w:val="000000" w:themeColor="text1"/>
                <w:szCs w:val="24"/>
                <w14:textFill>
                  <w14:solidFill>
                    <w14:schemeClr w14:val="tx1"/>
                  </w14:solidFill>
                </w14:textFill>
              </w:rPr>
              <w:t>2</w:t>
            </w:r>
            <w:r>
              <w:rPr>
                <w:rFonts w:hint="eastAsia"/>
                <w:color w:val="000000" w:themeColor="text1"/>
                <w:szCs w:val="24"/>
                <w14:textFill>
                  <w14:solidFill>
                    <w14:schemeClr w14:val="tx1"/>
                  </w14:solidFill>
                </w14:textFill>
              </w:rPr>
              <w:t>名实施人员，其中一人具备操作系统类认证证书，保障实施过程中服务器稳定运行，得1分。</w:t>
            </w:r>
          </w:p>
          <w:p w14:paraId="3B8BAD2D">
            <w:pPr>
              <w:pStyle w:val="5"/>
              <w:keepNext w:val="0"/>
              <w:keepLines w:val="0"/>
              <w:widowControl/>
              <w:numPr>
                <w:ilvl w:val="0"/>
                <w:numId w:val="1"/>
              </w:numPr>
              <w:suppressLineNumbers w:val="0"/>
              <w:spacing w:before="0" w:beforeAutospacing="1" w:after="0" w:afterAutospacing="1"/>
            </w:pPr>
            <w:r>
              <w:rPr>
                <w:rFonts w:hint="eastAsia"/>
                <w:color w:val="000000" w:themeColor="text1"/>
                <w:szCs w:val="24"/>
                <w14:textFill>
                  <w14:solidFill>
                    <w14:schemeClr w14:val="tx1"/>
                  </w14:solidFill>
                </w14:textFill>
              </w:rPr>
              <w:t>应提供团队人员方案。至少包括：</w:t>
            </w:r>
            <w:r>
              <w:rPr>
                <w:rFonts w:hint="eastAsia"/>
                <w:color w:val="000000" w:themeColor="text1"/>
                <w:szCs w:val="24"/>
                <w:lang w:val="en-US" w:eastAsia="zh-CN"/>
                <w14:textFill>
                  <w14:solidFill>
                    <w14:schemeClr w14:val="tx1"/>
                  </w14:solidFill>
                </w14:textFill>
              </w:rPr>
              <w:t>1.</w:t>
            </w:r>
            <w:r>
              <w:rPr>
                <w:rFonts w:hint="eastAsia"/>
                <w:color w:val="000000" w:themeColor="text1"/>
                <w:szCs w:val="24"/>
                <w14:textFill>
                  <w14:solidFill>
                    <w14:schemeClr w14:val="tx1"/>
                  </w14:solidFill>
                </w14:textFill>
              </w:rPr>
              <w:t>配备人员清单、</w:t>
            </w:r>
            <w:r>
              <w:rPr>
                <w:rFonts w:hint="eastAsia"/>
                <w:color w:val="000000" w:themeColor="text1"/>
                <w:szCs w:val="24"/>
                <w:lang w:val="en-US" w:eastAsia="zh-CN"/>
                <w14:textFill>
                  <w14:solidFill>
                    <w14:schemeClr w14:val="tx1"/>
                  </w14:solidFill>
                </w14:textFill>
              </w:rPr>
              <w:t>2.</w:t>
            </w:r>
            <w:r>
              <w:rPr>
                <w:rFonts w:hint="eastAsia"/>
                <w:color w:val="000000" w:themeColor="text1"/>
                <w:szCs w:val="24"/>
                <w14:textFill>
                  <w14:solidFill>
                    <w14:schemeClr w14:val="tx1"/>
                  </w14:solidFill>
                </w14:textFill>
              </w:rPr>
              <w:t>岗位的分配或组织架构；</w:t>
            </w:r>
            <w:r>
              <w:rPr>
                <w:rFonts w:hint="eastAsia"/>
                <w:color w:val="000000" w:themeColor="text1"/>
                <w14:textFill>
                  <w14:solidFill>
                    <w14:schemeClr w14:val="tx1"/>
                  </w14:solidFill>
                </w14:textFill>
              </w:rPr>
              <w:t>方案内容详细，专门针对本项目，符合采购需求和实际情况视为符合；方案内容属于通用类，非专门针对本项目，部分符合实际情况视为部分符合；方案内容非专门针对本项目，不符合实际情况或未提供</w:t>
            </w:r>
            <w:bookmarkStart w:id="0" w:name="_GoBack"/>
            <w:bookmarkEnd w:id="0"/>
            <w:r>
              <w:rPr>
                <w:rFonts w:hint="eastAsia"/>
                <w:color w:val="000000" w:themeColor="text1"/>
                <w14:textFill>
                  <w14:solidFill>
                    <w14:schemeClr w14:val="tx1"/>
                  </w14:solidFill>
                </w14:textFill>
              </w:rPr>
              <w:t>视为不符合。以上每一项内容符合得</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分，部分符合得</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分，不符合不得分，此项最高</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分。</w:t>
            </w:r>
          </w:p>
          <w:p w14:paraId="712B1AC5">
            <w:pPr>
              <w:widowControl/>
              <w:rPr>
                <w:rFonts w:ascii="Times New Roman" w:hAnsi="Times New Roman"/>
                <w:bCs/>
              </w:rPr>
            </w:pPr>
          </w:p>
        </w:tc>
        <w:tc>
          <w:tcPr>
            <w:tcW w:w="582" w:type="pct"/>
            <w:vAlign w:val="center"/>
          </w:tcPr>
          <w:p w14:paraId="1DAEDAD9">
            <w:pPr>
              <w:jc w:val="center"/>
              <w:rPr>
                <w:rFonts w:ascii="Times New Roman" w:hAnsi="Times New Roman"/>
                <w:bCs/>
                <w:szCs w:val="24"/>
              </w:rPr>
            </w:pPr>
            <w:r>
              <w:rPr>
                <w:rFonts w:hint="eastAsia" w:ascii="Times New Roman" w:hAnsi="Times New Roman"/>
                <w:bCs/>
                <w:szCs w:val="24"/>
              </w:rPr>
              <w:t>1</w:t>
            </w:r>
            <w:r>
              <w:rPr>
                <w:rFonts w:ascii="Times New Roman" w:hAnsi="Times New Roman"/>
                <w:bCs/>
                <w:szCs w:val="24"/>
              </w:rPr>
              <w:t>2</w:t>
            </w:r>
          </w:p>
        </w:tc>
      </w:tr>
    </w:tbl>
    <w:p w14:paraId="75E0B0A8">
      <w:pPr>
        <w:widowControl/>
        <w:shd w:val="clear" w:color="auto" w:fill="FFFFFF"/>
        <w:contextualSpacing/>
        <w:jc w:val="left"/>
        <w:rPr>
          <w:rFonts w:ascii="黑体" w:hAnsi="黑体" w:eastAsia="黑体"/>
          <w:color w:val="000000" w:themeColor="text1"/>
          <w:sz w:val="36"/>
          <w:szCs w:val="36"/>
          <w:u w:val="single"/>
          <w14:textFill>
            <w14:solidFill>
              <w14:schemeClr w14:val="tx1"/>
            </w14:solidFill>
          </w14:textFill>
        </w:rPr>
      </w:pPr>
    </w:p>
    <w:p w14:paraId="48E1F767">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bCs/>
          <w:color w:val="0F1115"/>
          <w:kern w:val="0"/>
          <w:sz w:val="24"/>
          <w:szCs w:val="24"/>
        </w:rPr>
        <w:t>评审委员会确认：</w:t>
      </w:r>
    </w:p>
    <w:p w14:paraId="5921C940">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color w:val="0F1115"/>
          <w:kern w:val="0"/>
          <w:sz w:val="24"/>
          <w:szCs w:val="24"/>
        </w:rPr>
        <w:t>我们确认，已根据比选文件规定的评审标准和程序，对所有通过资格性及符合性审查的参选文件进行了独立、公正的评审，并依据上表评分标准得出各项得分及总评分。</w:t>
      </w:r>
    </w:p>
    <w:p w14:paraId="53709834">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color w:val="0F1115"/>
          <w:kern w:val="0"/>
          <w:sz w:val="24"/>
          <w:szCs w:val="24"/>
        </w:rPr>
        <w:t xml:space="preserve">评审员（签字）：__________ __________ __________ </w:t>
      </w:r>
    </w:p>
    <w:p w14:paraId="10146730">
      <w:r>
        <w:rPr>
          <w:rFonts w:ascii="仿宋" w:hAnsi="仿宋" w:eastAsia="仿宋" w:cs="Segoe UI"/>
          <w:color w:val="0F1115"/>
          <w:kern w:val="0"/>
          <w:sz w:val="24"/>
          <w:szCs w:val="24"/>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F01417"/>
    <w:multiLevelType w:val="multilevel"/>
    <w:tmpl w:val="77F01417"/>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845C01"/>
    <w:rsid w:val="71845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Paragraph"/>
    <w:basedOn w:val="1"/>
    <w:qFormat/>
    <w:uiPriority w:val="1"/>
    <w:rPr>
      <w:rFonts w:ascii="Times New Roman" w:hAnsi="Times New Roman"/>
    </w:rPr>
  </w:style>
  <w:style w:type="paragraph" w:styleId="5">
    <w:name w:val="List Paragraph"/>
    <w:basedOn w:val="1"/>
    <w:qFormat/>
    <w:uiPriority w:val="34"/>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2026-10-13T08:38:00Z</dcterms:created>
  <dc:creator>Lyn</dc:creator>
  <cp:lastModifiedBy>Lyn</cp:lastModifiedBy>
  <dcterms:modified xsi:type="dcterms:W3CDTF">2026-10-13T08:39:52Z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7401AAE784214D6F9775A8CDA291A5D2_11</vt:lpwstr>
  </property>
  <property fmtid="{D5CDD505-2E9C-101B-9397-08002B2CF9AE}" pid="4" name="KSOTemplateDocerSaveRecord">
    <vt:lpwstr>eyJoZGlkIjoiMzI1NTc2YjM3YjBhNGRlYTk3YmY1YzQ4ZGRhMmI5ZWUiLCJ1c2VySWQiOiI0MzA1OTk4ODEifQ==</vt:lpwstr>
  </property>
</Properties>
</file>