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7AE2F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  <w:lang w:val="en-US" w:eastAsia="zh-CN"/>
        </w:rPr>
        <w:t>六</w:t>
      </w:r>
      <w:r>
        <w:rPr>
          <w:rFonts w:hint="eastAsia"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：</w:t>
      </w:r>
      <w:r>
        <w:rPr>
          <w:rFonts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00分</w:t>
      </w:r>
      <w:bookmarkStart w:id="0" w:name="_GoBack"/>
      <w:bookmarkEnd w:id="0"/>
      <w:r>
        <w:rPr>
          <w:rFonts w:ascii="仿宋" w:hAnsi="仿宋" w:eastAsia="仿宋"/>
          <w:b/>
          <w:color w:val="0F1115"/>
          <w:sz w:val="32"/>
          <w:szCs w:val="32"/>
          <w:highlight w:val="none"/>
          <w:shd w:val="clear" w:color="auto" w:fill="FFFFFF"/>
        </w:rPr>
        <w:t>）</w:t>
      </w:r>
    </w:p>
    <w:p w14:paraId="72826D8B">
      <w:pPr>
        <w:widowControl/>
        <w:shd w:val="clear" w:color="auto" w:fill="FFFFFF"/>
        <w:contextualSpacing/>
        <w:jc w:val="left"/>
        <w:rPr>
          <w:rFonts w:ascii="仿宋" w:hAnsi="仿宋" w:eastAsia="仿宋"/>
          <w:color w:val="0F1115"/>
          <w:sz w:val="32"/>
          <w:szCs w:val="32"/>
          <w:highlight w:val="none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highlight w:val="none"/>
          <w:shd w:val="clear" w:color="auto" w:fill="FFFFFF"/>
        </w:rPr>
        <w:t>项目名称：</w:t>
      </w:r>
      <w:r>
        <w:rPr>
          <w:rFonts w:hint="eastAsia" w:ascii="仿宋" w:hAnsi="仿宋" w:eastAsia="仿宋"/>
          <w:color w:val="0F1115"/>
          <w:sz w:val="32"/>
          <w:szCs w:val="32"/>
          <w:highlight w:val="none"/>
          <w:shd w:val="clear" w:color="auto" w:fill="FFFFFF"/>
        </w:rPr>
        <w:t>北京口腔医院安全技术托管服务项目</w:t>
      </w:r>
    </w:p>
    <w:p w14:paraId="0301C841">
      <w:pPr>
        <w:widowControl/>
        <w:shd w:val="clear" w:color="auto" w:fill="FFFFFF"/>
        <w:contextualSpacing/>
        <w:jc w:val="left"/>
        <w:rPr>
          <w:rFonts w:ascii="黑体" w:hAnsi="黑体" w:eastAsia="黑体"/>
          <w:color w:val="000000" w:themeColor="text1"/>
          <w:sz w:val="36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1"/>
        <w:gridCol w:w="1446"/>
        <w:gridCol w:w="4395"/>
        <w:gridCol w:w="1134"/>
        <w:gridCol w:w="1417"/>
      </w:tblGrid>
      <w:tr w14:paraId="181A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CCFF7A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评分部分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3F49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2410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F6EBD7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8D84A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分值属性</w:t>
            </w:r>
          </w:p>
        </w:tc>
      </w:tr>
      <w:tr w14:paraId="3DC5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944D6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价格部分</w:t>
            </w:r>
          </w:p>
          <w:p w14:paraId="2005176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20</w:t>
            </w: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4E66D3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A0593F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满足比选文件要求且报价最低的为基准价，该报价得分为满分。其他供应商的报价得分统一按照下列公式计算：</w:t>
            </w:r>
          </w:p>
          <w:p w14:paraId="2264848F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报价得分＝（基准价/报价）×分值。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6FDC6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D06B3E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客观</w:t>
            </w:r>
          </w:p>
        </w:tc>
      </w:tr>
      <w:tr w14:paraId="4B6A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778BDD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商务部分</w:t>
            </w:r>
          </w:p>
          <w:p w14:paraId="7B022E0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25</w:t>
            </w: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0971F6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4E6F71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对供应商在近三年内（2023年9月1日至递交截止日）的安全技术托管服务项目进行评审，须在参选文件中提供合同复印件并加盖投标单位公章，每提供1项合格的业绩得2分，最高得10分。</w:t>
            </w:r>
          </w:p>
          <w:p w14:paraId="0466AC02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 xml:space="preserve">注： </w:t>
            </w:r>
          </w:p>
          <w:p w14:paraId="7B8E1616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1）以合同签订时间为准，未注明签订时间的合同评标委员会有权不予认可为有效业绩。</w:t>
            </w:r>
          </w:p>
          <w:p w14:paraId="77842442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2）与同一采购人签订的不同服务时间的合同按1份合同计算。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3717CD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ECB596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客观</w:t>
            </w:r>
          </w:p>
        </w:tc>
      </w:tr>
      <w:tr w14:paraId="01FC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D294A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8D8B5D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61ED73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根据拟派本项目的项目经理及团队成员的学历、证书、工作经验等进行综合评审：</w:t>
            </w:r>
          </w:p>
          <w:p w14:paraId="70E5665F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人员配备能够满足招标文件要求，构成比例合理、专业齐备，人员经验丰富得8-10分；</w:t>
            </w:r>
          </w:p>
          <w:p w14:paraId="6A70B150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人员配备能够满足招标文件要求，构成比例较合理、专业较齐备，人员经验较丰富得5-7分；</w:t>
            </w:r>
          </w:p>
          <w:p w14:paraId="29056D6F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人员配备基本能够满足招标文件要求，构成比例合理性一般、专业齐备性一般，人员经验一般得2-4分；</w:t>
            </w:r>
          </w:p>
          <w:p w14:paraId="1353D754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人员配备基本不能够满足招标文件要求，构成比例合理性较差、专业不够齐备，人员经验欠丰富得1分；</w:t>
            </w:r>
          </w:p>
          <w:p w14:paraId="3AADC5EE">
            <w:pPr>
              <w:widowControl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6367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C982F9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主观</w:t>
            </w:r>
          </w:p>
        </w:tc>
      </w:tr>
      <w:tr w14:paraId="1E03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3E2217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71DAF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内容完整性和编制水平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7F64AB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完全按比选要求包含：资格声明书、响应书、授权委托书、报价一览表、采购需求偏离表等全部章节，无缺项、无漏页、无关键资料缺失；有目录页码、排版格式清晰、文件装订规范得5分，否则不得分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3FB76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C6851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客观</w:t>
            </w:r>
          </w:p>
        </w:tc>
      </w:tr>
      <w:tr w14:paraId="632B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3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FB809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技术部分</w:t>
            </w:r>
          </w:p>
          <w:p w14:paraId="18D7CAB9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 xml:space="preserve"> (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55</w:t>
            </w: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5E56E7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项目重点、难点的分析与解决方案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1062CE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根据供应商对本项目的“项目重点、难点的分析与解决方案”进行评价：</w:t>
            </w:r>
          </w:p>
          <w:p w14:paraId="41C47FF0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对本项目理解深入、重点难点分析全面贴合现状，解决方案内容详细，目标明确，切实可行得11-15分；</w:t>
            </w:r>
          </w:p>
          <w:p w14:paraId="15AAE5E2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对本项目理解一般，重点难点分析较全面符合现状，解决方案内容较完整、可行得6-10分；</w:t>
            </w:r>
          </w:p>
          <w:p w14:paraId="19C03B73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对本项目理解一般，重点难点分析与现状有偏差，解决方案一般得1-5分；</w:t>
            </w:r>
          </w:p>
          <w:p w14:paraId="3BE14E5A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对本项目理解、重点难点分析、解决方案均较差或未提供不得分。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7A099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01C364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主观</w:t>
            </w:r>
          </w:p>
        </w:tc>
      </w:tr>
      <w:tr w14:paraId="7973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3C33B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31D6D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FD4BA8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根据供应商提供的针对本项目的服务方案情况进行综合评审：</w:t>
            </w:r>
          </w:p>
          <w:p w14:paraId="3E70BC77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方案内容全面、完整、具体、针对性强、可操作性强，得11-15分；</w:t>
            </w:r>
          </w:p>
          <w:p w14:paraId="049D1E06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方案内容全面、完整、具体、针对性较强、可操作性较强，得6-10分；</w:t>
            </w:r>
          </w:p>
          <w:p w14:paraId="60D08DE1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方案内容的全面性、完整性、可行性一般，针对性一般，可操作性一般，得1-5分；</w:t>
            </w:r>
          </w:p>
          <w:p w14:paraId="2F1A8690">
            <w:pPr>
              <w:widowControl/>
              <w:rPr>
                <w:rFonts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方案内容不全面、不完整、不具体、针对性不强、可操作性不强或未提供不得分。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2052A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E826F1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主观</w:t>
            </w:r>
          </w:p>
        </w:tc>
      </w:tr>
      <w:tr w14:paraId="2C44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A700F6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DA0BF2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运维记录</w:t>
            </w:r>
          </w:p>
          <w:p w14:paraId="1EA17D2D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的文档管</w:t>
            </w:r>
          </w:p>
          <w:p w14:paraId="2C08C04B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理</w:t>
            </w:r>
          </w:p>
          <w:p w14:paraId="253C34B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8C4C63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 xml:space="preserve">服务供应商提出有效的运维记录的文档管理方案，并能够充分说明、描述并体现：①有完善的项目档案管 </w:t>
            </w:r>
          </w:p>
          <w:p w14:paraId="44136D66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理机制；②提供完整的项目运维检验检测单据及文档 ，每满足一项得 5 分，最高得 10 分；未明确体现或 无法判断的，该部分不得分。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EA074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A3901F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主观</w:t>
            </w:r>
          </w:p>
        </w:tc>
      </w:tr>
      <w:tr w14:paraId="09BF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EA143C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6ACA55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  <w:highlight w:val="none"/>
              </w:rPr>
              <w:t>突发情况的处理及应急预案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EDB028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 xml:space="preserve">根据供应商针对本项目提供的“突发情况的处理及应急预案”进行综合评审： </w:t>
            </w:r>
          </w:p>
          <w:p w14:paraId="2C278B25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突发情况反应迅速、应急预案内容充实，合理性、科学性、针对性高得11-15分；</w:t>
            </w:r>
          </w:p>
          <w:p w14:paraId="1D403B9D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突发情况反应一般、应急预案内容较充实，合理性、科学性、针对性较高得6-10分；</w:t>
            </w:r>
          </w:p>
          <w:p w14:paraId="261384F2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 xml:space="preserve">突发情况反应一般、应急预案内容一般，合理性、科学性、针对性一般得1-5分； </w:t>
            </w:r>
          </w:p>
          <w:p w14:paraId="587FC28C">
            <w:pPr>
              <w:widowControl/>
              <w:rPr>
                <w:rFonts w:hint="eastAsia" w:ascii="仿宋" w:hAnsi="仿宋" w:eastAsia="仿宋" w:cs="宋体"/>
                <w:bCs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Cs/>
                <w:szCs w:val="21"/>
                <w:highlight w:val="none"/>
              </w:rPr>
              <w:t>突发情况反应滞后、应急预案内容不全面、不合同、不科学、针对性不强或未提供不得分。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B08EF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288E5E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主观</w:t>
            </w:r>
          </w:p>
        </w:tc>
      </w:tr>
      <w:tr w14:paraId="4014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F873D0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总评分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DF02FE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9A055A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6657F7">
            <w:pPr>
              <w:widowControl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  <w:highlight w:val="none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DE40A4">
            <w:pPr>
              <w:widowControl/>
              <w:contextualSpacing/>
              <w:jc w:val="left"/>
              <w:rPr>
                <w:rFonts w:ascii="仿宋" w:hAnsi="仿宋" w:eastAsia="仿宋" w:cs="Times New Roman"/>
                <w:bCs/>
                <w:kern w:val="0"/>
                <w:szCs w:val="21"/>
                <w:highlight w:val="none"/>
              </w:rPr>
            </w:pPr>
          </w:p>
        </w:tc>
      </w:tr>
    </w:tbl>
    <w:p w14:paraId="326AB91E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  <w:highlight w:val="none"/>
        </w:rPr>
        <w:t>评审委员会确认：</w:t>
      </w:r>
    </w:p>
    <w:p w14:paraId="4B093315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16AFBA35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  <w:t xml:space="preserve">评审员（签字）：__________ __________ __________ </w:t>
      </w:r>
    </w:p>
    <w:p w14:paraId="6C33A37E">
      <w:r>
        <w:rPr>
          <w:rFonts w:ascii="仿宋" w:hAnsi="仿宋" w:eastAsia="仿宋" w:cs="Segoe UI"/>
          <w:color w:val="0F1115"/>
          <w:kern w:val="0"/>
          <w:sz w:val="24"/>
          <w:szCs w:val="24"/>
          <w:highlight w:val="none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64C5C"/>
    <w:rsid w:val="60B6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color w:val="000000"/>
      <w:kern w:val="2"/>
      <w:sz w:val="22"/>
      <w:szCs w:val="22"/>
      <w:lang w:eastAsia="zh-CN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2026-09-15T02:40:00Z</dcterms:created>
  <dc:creator>Lyn</dc:creator>
  <cp:lastModifiedBy>Lyn</cp:lastModifiedBy>
  <dcterms:modified xsi:type="dcterms:W3CDTF">2026-09-15T02:41:55Z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7932DD9E76294F0CAC22A61D8C4CFE6C_11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