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199FC">
      <w:pPr>
        <w:widowControl/>
        <w:shd w:val="clear" w:color="auto" w:fill="FFFFFF"/>
        <w:spacing w:line="520" w:lineRule="exact"/>
        <w:contextualSpacing/>
        <w:rPr>
          <w:rFonts w:ascii="仿宋" w:hAnsi="仿宋" w:eastAsia="仿宋" w:cs="Segoe UI"/>
          <w:b/>
          <w:bCs/>
          <w:sz w:val="44"/>
          <w:szCs w:val="44"/>
          <w:highlight w:val="none"/>
        </w:rPr>
      </w:pPr>
      <w:r>
        <w:rPr>
          <w:rFonts w:ascii="仿宋" w:hAnsi="仿宋" w:eastAsia="仿宋" w:cs="Segoe UI"/>
          <w:b/>
          <w:bCs/>
          <w:sz w:val="32"/>
          <w:szCs w:val="32"/>
          <w:highlight w:val="none"/>
        </w:rPr>
        <w:t>附件</w:t>
      </w:r>
      <w:r>
        <w:rPr>
          <w:rFonts w:hint="eastAsia" w:ascii="仿宋" w:hAnsi="仿宋" w:eastAsia="仿宋" w:cs="Segoe UI"/>
          <w:b/>
          <w:bCs/>
          <w:sz w:val="32"/>
          <w:szCs w:val="32"/>
          <w:highlight w:val="none"/>
        </w:rPr>
        <w:t>四</w:t>
      </w:r>
      <w:r>
        <w:rPr>
          <w:rFonts w:ascii="仿宋" w:hAnsi="仿宋" w:eastAsia="仿宋" w:cs="Segoe UI"/>
          <w:b/>
          <w:bCs/>
          <w:sz w:val="32"/>
          <w:szCs w:val="32"/>
          <w:highlight w:val="none"/>
        </w:rPr>
        <w:t>：资格性审查表</w:t>
      </w:r>
    </w:p>
    <w:p w14:paraId="2B265A90">
      <w:pPr>
        <w:widowControl/>
        <w:shd w:val="clear" w:color="auto" w:fill="FFFFFF"/>
        <w:spacing w:line="520" w:lineRule="exact"/>
        <w:contextualSpacing/>
        <w:rPr>
          <w:rFonts w:ascii="仿宋" w:hAnsi="仿宋" w:eastAsia="仿宋" w:cs="Segoe UI"/>
          <w:bCs/>
          <w:sz w:val="24"/>
          <w:szCs w:val="24"/>
          <w:highlight w:val="none"/>
        </w:rPr>
      </w:pPr>
      <w:r>
        <w:rPr>
          <w:rFonts w:ascii="仿宋" w:hAnsi="仿宋" w:eastAsia="仿宋" w:cs="Segoe UI"/>
          <w:bCs/>
          <w:color w:val="0F1115"/>
          <w:sz w:val="24"/>
          <w:szCs w:val="24"/>
          <w:highlight w:val="none"/>
          <w:shd w:val="clear" w:color="auto" w:fill="FFFFFF"/>
        </w:rPr>
        <w:t>项目名称：</w:t>
      </w:r>
      <w:r>
        <w:rPr>
          <w:rFonts w:hint="eastAsia" w:ascii="仿宋" w:hAnsi="仿宋" w:eastAsia="仿宋" w:cs="Segoe UI"/>
          <w:bCs/>
          <w:color w:val="0F1115"/>
          <w:sz w:val="24"/>
          <w:szCs w:val="24"/>
          <w:highlight w:val="none"/>
          <w:shd w:val="clear" w:color="auto" w:fill="FFFFFF"/>
        </w:rPr>
        <w:t>北京口腔医院安全技术托</w:t>
      </w:r>
      <w:bookmarkStart w:id="0" w:name="_GoBack"/>
      <w:bookmarkEnd w:id="0"/>
      <w:r>
        <w:rPr>
          <w:rFonts w:hint="eastAsia" w:ascii="仿宋" w:hAnsi="仿宋" w:eastAsia="仿宋" w:cs="Segoe UI"/>
          <w:bCs/>
          <w:color w:val="0F1115"/>
          <w:sz w:val="24"/>
          <w:szCs w:val="24"/>
          <w:highlight w:val="none"/>
          <w:shd w:val="clear" w:color="auto" w:fill="FFFFFF"/>
        </w:rPr>
        <w:t>管服务项目</w:t>
      </w:r>
    </w:p>
    <w:p w14:paraId="70DD2828">
      <w:pPr>
        <w:pStyle w:val="7"/>
        <w:shd w:val="clear" w:color="auto" w:fill="FFFFFF"/>
        <w:spacing w:before="0" w:beforeAutospacing="0" w:after="0" w:afterAutospacing="0" w:line="520" w:lineRule="exact"/>
        <w:contextualSpacing/>
        <w:rPr>
          <w:rFonts w:ascii="仿宋" w:hAnsi="仿宋" w:eastAsia="仿宋" w:cs="Segoe UI"/>
          <w:color w:val="0F1115"/>
          <w:highlight w:val="none"/>
        </w:rPr>
      </w:pPr>
      <w:r>
        <w:rPr>
          <w:rFonts w:ascii="仿宋" w:hAnsi="仿宋" w:eastAsia="仿宋" w:cs="Segoe UI"/>
          <w:bCs/>
          <w:color w:val="0F1115"/>
          <w:highlight w:val="none"/>
        </w:rPr>
        <w:t>评审原则：</w:t>
      </w:r>
      <w:r>
        <w:rPr>
          <w:rFonts w:ascii="Calibri" w:hAnsi="Calibri" w:eastAsia="仿宋" w:cs="Calibri"/>
          <w:color w:val="0F1115"/>
          <w:highlight w:val="none"/>
        </w:rPr>
        <w:t> </w:t>
      </w:r>
      <w:r>
        <w:rPr>
          <w:rFonts w:ascii="仿宋" w:hAnsi="仿宋" w:eastAsia="仿宋" w:cs="Segoe UI"/>
          <w:color w:val="0F1115"/>
          <w:highlight w:val="none"/>
        </w:rPr>
        <w:t>以下</w:t>
      </w:r>
      <w:r>
        <w:rPr>
          <w:rFonts w:hint="eastAsia" w:ascii="仿宋" w:hAnsi="仿宋" w:eastAsia="仿宋" w:cs="Segoe UI"/>
          <w:color w:val="0F1115"/>
          <w:highlight w:val="none"/>
        </w:rPr>
        <w:t>九</w:t>
      </w:r>
      <w:r>
        <w:rPr>
          <w:rFonts w:ascii="仿宋" w:hAnsi="仿宋" w:eastAsia="仿宋" w:cs="Segoe UI"/>
          <w:color w:val="0F1115"/>
          <w:highlight w:val="none"/>
        </w:rPr>
        <w:t>项审查中，任一参选人有任一项结论为“不通过”，则其资格性审查总体结论为“不通过”，不得进入后续评审。</w:t>
      </w:r>
    </w:p>
    <w:tbl>
      <w:tblPr>
        <w:tblStyle w:val="5"/>
        <w:tblpPr w:leftFromText="180" w:rightFromText="180" w:vertAnchor="text" w:horzAnchor="margin" w:tblpXSpec="center" w:tblpY="127"/>
        <w:tblW w:w="583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8"/>
        <w:gridCol w:w="1698"/>
        <w:gridCol w:w="7396"/>
      </w:tblGrid>
      <w:tr w14:paraId="305DA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57"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1AE0AE7A">
            <w:pPr>
              <w:tabs>
                <w:tab w:val="left" w:pos="1080"/>
              </w:tabs>
              <w:snapToGrid w:val="0"/>
              <w:jc w:val="center"/>
              <w:rPr>
                <w:rFonts w:ascii="仿宋" w:hAnsi="仿宋" w:eastAsia="仿宋" w:cs="Times New Roman"/>
                <w:b/>
                <w:color w:val="000000"/>
                <w:sz w:val="24"/>
                <w:szCs w:val="24"/>
                <w:highlight w:val="none"/>
              </w:rPr>
            </w:pPr>
            <w:r>
              <w:rPr>
                <w:rFonts w:hint="eastAsia" w:ascii="仿宋" w:hAnsi="仿宋" w:eastAsia="仿宋" w:cs="Times New Roman"/>
                <w:b/>
                <w:color w:val="000000"/>
                <w:sz w:val="24"/>
                <w:szCs w:val="24"/>
                <w:highlight w:val="none"/>
              </w:rPr>
              <w:t>序号</w:t>
            </w:r>
          </w:p>
        </w:tc>
        <w:tc>
          <w:tcPr>
            <w:tcW w:w="1653" w:type="dxa"/>
            <w:tcBorders>
              <w:top w:val="single" w:color="000000" w:sz="4" w:space="0"/>
              <w:left w:val="single" w:color="000000" w:sz="4" w:space="0"/>
              <w:bottom w:val="single" w:color="000000" w:sz="4" w:space="0"/>
              <w:right w:val="single" w:color="000000" w:sz="4" w:space="0"/>
            </w:tcBorders>
            <w:vAlign w:val="center"/>
          </w:tcPr>
          <w:p w14:paraId="462EF1DC">
            <w:pPr>
              <w:tabs>
                <w:tab w:val="left" w:pos="1080"/>
              </w:tabs>
              <w:snapToGrid w:val="0"/>
              <w:jc w:val="center"/>
              <w:rPr>
                <w:rFonts w:ascii="仿宋" w:hAnsi="仿宋" w:eastAsia="仿宋" w:cs="Times New Roman"/>
                <w:b/>
                <w:color w:val="000000"/>
                <w:sz w:val="24"/>
                <w:szCs w:val="24"/>
                <w:highlight w:val="none"/>
              </w:rPr>
            </w:pPr>
            <w:r>
              <w:rPr>
                <w:rFonts w:hint="eastAsia" w:ascii="仿宋" w:hAnsi="仿宋" w:eastAsia="仿宋" w:cs="Times New Roman"/>
                <w:b/>
                <w:color w:val="000000"/>
                <w:sz w:val="24"/>
                <w:szCs w:val="24"/>
                <w:highlight w:val="none"/>
              </w:rPr>
              <w:t>检查因素</w:t>
            </w:r>
          </w:p>
        </w:tc>
        <w:tc>
          <w:tcPr>
            <w:tcW w:w="7200" w:type="dxa"/>
            <w:tcBorders>
              <w:top w:val="single" w:color="000000" w:sz="4" w:space="0"/>
              <w:left w:val="single" w:color="000000" w:sz="4" w:space="0"/>
              <w:bottom w:val="single" w:color="000000" w:sz="4" w:space="0"/>
              <w:right w:val="single" w:color="000000" w:sz="4" w:space="0"/>
            </w:tcBorders>
            <w:vAlign w:val="center"/>
          </w:tcPr>
          <w:p w14:paraId="5891235E">
            <w:pPr>
              <w:tabs>
                <w:tab w:val="left" w:pos="1080"/>
              </w:tabs>
              <w:snapToGrid w:val="0"/>
              <w:jc w:val="center"/>
              <w:rPr>
                <w:rFonts w:ascii="仿宋" w:hAnsi="仿宋" w:eastAsia="仿宋" w:cs="Times New Roman"/>
                <w:b/>
                <w:color w:val="000000"/>
                <w:sz w:val="24"/>
                <w:szCs w:val="24"/>
                <w:highlight w:val="none"/>
              </w:rPr>
            </w:pPr>
            <w:r>
              <w:rPr>
                <w:rFonts w:hint="eastAsia" w:ascii="仿宋" w:hAnsi="仿宋" w:eastAsia="仿宋" w:cs="Times New Roman"/>
                <w:b/>
                <w:color w:val="000000"/>
                <w:sz w:val="24"/>
                <w:szCs w:val="24"/>
                <w:highlight w:val="none"/>
              </w:rPr>
              <w:t>检查内容</w:t>
            </w:r>
          </w:p>
        </w:tc>
      </w:tr>
      <w:tr w14:paraId="028CD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4BCBAF33">
            <w:pPr>
              <w:tabs>
                <w:tab w:val="left" w:pos="1080"/>
              </w:tabs>
              <w:snapToGrid w:val="0"/>
              <w:jc w:val="center"/>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1</w:t>
            </w:r>
          </w:p>
        </w:tc>
        <w:tc>
          <w:tcPr>
            <w:tcW w:w="1653" w:type="dxa"/>
            <w:tcBorders>
              <w:top w:val="single" w:color="000000" w:sz="4" w:space="0"/>
              <w:left w:val="single" w:color="000000" w:sz="4" w:space="0"/>
              <w:bottom w:val="single" w:color="000000" w:sz="4" w:space="0"/>
              <w:right w:val="single" w:color="000000" w:sz="4" w:space="0"/>
            </w:tcBorders>
            <w:vAlign w:val="center"/>
          </w:tcPr>
          <w:p w14:paraId="53ED3492">
            <w:pPr>
              <w:tabs>
                <w:tab w:val="left" w:pos="1080"/>
              </w:tabs>
              <w:snapToGrid w:val="0"/>
              <w:jc w:val="center"/>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营业执照等证明文件</w:t>
            </w:r>
          </w:p>
        </w:tc>
        <w:tc>
          <w:tcPr>
            <w:tcW w:w="7200" w:type="dxa"/>
            <w:tcBorders>
              <w:top w:val="single" w:color="000000" w:sz="4" w:space="0"/>
              <w:left w:val="single" w:color="000000" w:sz="4" w:space="0"/>
              <w:bottom w:val="single" w:color="000000" w:sz="4" w:space="0"/>
              <w:right w:val="single" w:color="000000" w:sz="4" w:space="0"/>
            </w:tcBorders>
            <w:vAlign w:val="center"/>
          </w:tcPr>
          <w:p w14:paraId="5552E729">
            <w:pPr>
              <w:tabs>
                <w:tab w:val="left" w:pos="1080"/>
              </w:tabs>
              <w:snapToGrid w:val="0"/>
              <w:jc w:val="left"/>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供应商为企业（包括合伙企业）的，应提供有效的“营业执照”；</w:t>
            </w:r>
          </w:p>
          <w:p w14:paraId="42956A7F">
            <w:pPr>
              <w:tabs>
                <w:tab w:val="left" w:pos="1080"/>
              </w:tabs>
              <w:snapToGrid w:val="0"/>
              <w:jc w:val="left"/>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供应商为事业单位的，应提供有效的“事业单位法人证书”；</w:t>
            </w:r>
          </w:p>
          <w:p w14:paraId="4A5F55EE">
            <w:pPr>
              <w:tabs>
                <w:tab w:val="left" w:pos="1080"/>
              </w:tabs>
              <w:snapToGrid w:val="0"/>
              <w:jc w:val="left"/>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供应商是非企业机构的，应提供有效的“执业许可证”“登记证书”等证明文件；</w:t>
            </w:r>
          </w:p>
          <w:p w14:paraId="13E5562F">
            <w:pPr>
              <w:tabs>
                <w:tab w:val="left" w:pos="1080"/>
              </w:tabs>
              <w:snapToGrid w:val="0"/>
              <w:jc w:val="left"/>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供应商是个体工商户的，应提供有效的“个体工商户营业执照”；</w:t>
            </w:r>
          </w:p>
          <w:p w14:paraId="2ACAD11D">
            <w:pPr>
              <w:tabs>
                <w:tab w:val="left" w:pos="1080"/>
              </w:tabs>
              <w:snapToGrid w:val="0"/>
              <w:jc w:val="left"/>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供应商是自然人的，应提供有效的自然人身份证明。</w:t>
            </w:r>
          </w:p>
          <w:p w14:paraId="2399E5EF">
            <w:pPr>
              <w:tabs>
                <w:tab w:val="left" w:pos="1080"/>
              </w:tabs>
              <w:snapToGrid w:val="0"/>
              <w:jc w:val="left"/>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分支机构参加响应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623D4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2A023417">
            <w:pPr>
              <w:tabs>
                <w:tab w:val="left" w:pos="1080"/>
              </w:tabs>
              <w:snapToGrid w:val="0"/>
              <w:jc w:val="center"/>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2</w:t>
            </w:r>
          </w:p>
        </w:tc>
        <w:tc>
          <w:tcPr>
            <w:tcW w:w="1653" w:type="dxa"/>
            <w:tcBorders>
              <w:top w:val="single" w:color="000000" w:sz="4" w:space="0"/>
              <w:left w:val="single" w:color="000000" w:sz="4" w:space="0"/>
              <w:bottom w:val="single" w:color="000000" w:sz="4" w:space="0"/>
              <w:right w:val="single" w:color="000000" w:sz="4" w:space="0"/>
            </w:tcBorders>
            <w:vAlign w:val="center"/>
          </w:tcPr>
          <w:p w14:paraId="69C2F66D">
            <w:pPr>
              <w:tabs>
                <w:tab w:val="left" w:pos="1080"/>
              </w:tabs>
              <w:snapToGrid w:val="0"/>
              <w:jc w:val="center"/>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供应商比选前承诺书</w:t>
            </w:r>
          </w:p>
        </w:tc>
        <w:tc>
          <w:tcPr>
            <w:tcW w:w="7200" w:type="dxa"/>
            <w:tcBorders>
              <w:top w:val="single" w:color="000000" w:sz="4" w:space="0"/>
              <w:left w:val="single" w:color="000000" w:sz="4" w:space="0"/>
              <w:bottom w:val="single" w:color="000000" w:sz="4" w:space="0"/>
              <w:right w:val="single" w:color="000000" w:sz="4" w:space="0"/>
            </w:tcBorders>
            <w:vAlign w:val="center"/>
          </w:tcPr>
          <w:p w14:paraId="6630F56F">
            <w:pPr>
              <w:tabs>
                <w:tab w:val="left" w:pos="1080"/>
              </w:tabs>
              <w:snapToGrid w:val="0"/>
              <w:jc w:val="left"/>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提供了符合比选文件要求的《比选前承诺书》。</w:t>
            </w:r>
          </w:p>
        </w:tc>
      </w:tr>
      <w:tr w14:paraId="652C7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2A04DEB9">
            <w:pPr>
              <w:tabs>
                <w:tab w:val="left" w:pos="1080"/>
              </w:tabs>
              <w:snapToGrid w:val="0"/>
              <w:jc w:val="center"/>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3</w:t>
            </w:r>
          </w:p>
        </w:tc>
        <w:tc>
          <w:tcPr>
            <w:tcW w:w="1653" w:type="dxa"/>
            <w:tcBorders>
              <w:top w:val="single" w:color="000000" w:sz="4" w:space="0"/>
              <w:left w:val="single" w:color="000000" w:sz="4" w:space="0"/>
              <w:bottom w:val="single" w:color="000000" w:sz="4" w:space="0"/>
              <w:right w:val="single" w:color="000000" w:sz="4" w:space="0"/>
            </w:tcBorders>
            <w:vAlign w:val="center"/>
          </w:tcPr>
          <w:p w14:paraId="772FAF63">
            <w:pPr>
              <w:tabs>
                <w:tab w:val="left" w:pos="1080"/>
              </w:tabs>
              <w:snapToGrid w:val="0"/>
              <w:jc w:val="center"/>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供应商资格声明书</w:t>
            </w:r>
          </w:p>
        </w:tc>
        <w:tc>
          <w:tcPr>
            <w:tcW w:w="7200" w:type="dxa"/>
            <w:tcBorders>
              <w:top w:val="single" w:color="000000" w:sz="4" w:space="0"/>
              <w:left w:val="single" w:color="000000" w:sz="4" w:space="0"/>
              <w:bottom w:val="single" w:color="000000" w:sz="4" w:space="0"/>
              <w:right w:val="single" w:color="000000" w:sz="4" w:space="0"/>
            </w:tcBorders>
            <w:vAlign w:val="center"/>
          </w:tcPr>
          <w:p w14:paraId="6A51A910">
            <w:pPr>
              <w:tabs>
                <w:tab w:val="left" w:pos="1080"/>
              </w:tabs>
              <w:snapToGrid w:val="0"/>
              <w:jc w:val="left"/>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提供了符合比选文件要求的《供应商资格声明书》。</w:t>
            </w:r>
          </w:p>
        </w:tc>
      </w:tr>
      <w:tr w14:paraId="6EF2C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016A50D3">
            <w:pPr>
              <w:tabs>
                <w:tab w:val="left" w:pos="1080"/>
              </w:tabs>
              <w:snapToGrid w:val="0"/>
              <w:jc w:val="center"/>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4</w:t>
            </w:r>
          </w:p>
        </w:tc>
        <w:tc>
          <w:tcPr>
            <w:tcW w:w="1653" w:type="dxa"/>
            <w:tcBorders>
              <w:top w:val="single" w:color="000000" w:sz="4" w:space="0"/>
              <w:left w:val="single" w:color="000000" w:sz="4" w:space="0"/>
              <w:bottom w:val="single" w:color="000000" w:sz="4" w:space="0"/>
              <w:right w:val="single" w:color="000000" w:sz="4" w:space="0"/>
            </w:tcBorders>
            <w:vAlign w:val="center"/>
          </w:tcPr>
          <w:p w14:paraId="479BBACD">
            <w:pPr>
              <w:tabs>
                <w:tab w:val="left" w:pos="1080"/>
              </w:tabs>
              <w:snapToGrid w:val="0"/>
              <w:jc w:val="center"/>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信誉要求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278DB13E">
            <w:pPr>
              <w:tabs>
                <w:tab w:val="left" w:pos="1080"/>
              </w:tabs>
              <w:snapToGrid w:val="0"/>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1）参加本次比选活动前三年内，在经营活动中无重大违法记录（须提供加盖公章的书面声明）。</w:t>
            </w:r>
          </w:p>
          <w:p w14:paraId="5D88DAD8">
            <w:pPr>
              <w:tabs>
                <w:tab w:val="left" w:pos="1080"/>
              </w:tabs>
              <w:snapToGrid w:val="0"/>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2）在“信用中国”网站（www.creditchina.gov.cn）未被列入失信被执行人、重大税收违法案件当事人名单及政府采购严重违法失信行为记录名单（须提供公告发布日后查询结果的网页截图并加盖公章）。</w:t>
            </w:r>
          </w:p>
          <w:p w14:paraId="55ED39E7">
            <w:pPr>
              <w:tabs>
                <w:tab w:val="left" w:pos="1080"/>
              </w:tabs>
              <w:snapToGrid w:val="0"/>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3）在“中国政府采购网”（www.ccgp.gov.cn）未被列入政府采购严重违法失信行为记录名单（处罚期限尚未届满的）（须提供公告发布日后查询结果的网页截图并加盖公章）。</w:t>
            </w:r>
          </w:p>
        </w:tc>
      </w:tr>
      <w:tr w14:paraId="404D7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5177B959">
            <w:pPr>
              <w:tabs>
                <w:tab w:val="left" w:pos="1080"/>
              </w:tabs>
              <w:snapToGrid w:val="0"/>
              <w:jc w:val="center"/>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5</w:t>
            </w:r>
          </w:p>
        </w:tc>
        <w:tc>
          <w:tcPr>
            <w:tcW w:w="1653" w:type="dxa"/>
            <w:tcBorders>
              <w:top w:val="single" w:color="000000" w:sz="4" w:space="0"/>
              <w:left w:val="single" w:color="000000" w:sz="4" w:space="0"/>
              <w:bottom w:val="single" w:color="000000" w:sz="4" w:space="0"/>
              <w:right w:val="single" w:color="000000" w:sz="4" w:space="0"/>
            </w:tcBorders>
            <w:vAlign w:val="center"/>
          </w:tcPr>
          <w:p w14:paraId="4DC9230F">
            <w:pPr>
              <w:tabs>
                <w:tab w:val="left" w:pos="1080"/>
              </w:tabs>
              <w:snapToGrid w:val="0"/>
              <w:jc w:val="center"/>
              <w:rPr>
                <w:rFonts w:ascii="仿宋" w:hAnsi="仿宋" w:eastAsia="仿宋" w:cs="Times New Roman"/>
                <w:color w:val="000000"/>
                <w:sz w:val="24"/>
                <w:szCs w:val="24"/>
                <w:highlight w:val="none"/>
              </w:rPr>
            </w:pPr>
            <w:r>
              <w:rPr>
                <w:rFonts w:hint="eastAsia" w:ascii="仿宋" w:hAnsi="仿宋" w:eastAsia="仿宋" w:cs="仿宋"/>
                <w:color w:val="000000"/>
                <w:sz w:val="24"/>
                <w:szCs w:val="24"/>
                <w:highlight w:val="none"/>
              </w:rPr>
              <w:t>法定资质</w:t>
            </w:r>
          </w:p>
        </w:tc>
        <w:tc>
          <w:tcPr>
            <w:tcW w:w="7200" w:type="dxa"/>
            <w:tcBorders>
              <w:top w:val="single" w:color="000000" w:sz="4" w:space="0"/>
              <w:left w:val="single" w:color="000000" w:sz="4" w:space="0"/>
              <w:bottom w:val="single" w:color="000000" w:sz="4" w:space="0"/>
              <w:right w:val="single" w:color="000000" w:sz="4" w:space="0"/>
            </w:tcBorders>
            <w:vAlign w:val="center"/>
          </w:tcPr>
          <w:p w14:paraId="5E118F80">
            <w:pPr>
              <w:tabs>
                <w:tab w:val="left" w:pos="1080"/>
              </w:tabs>
              <w:snapToGrid w:val="0"/>
              <w:jc w:val="left"/>
              <w:rPr>
                <w:rFonts w:ascii="仿宋" w:hAnsi="仿宋" w:eastAsia="仿宋" w:cs="Times New Roman"/>
                <w:color w:val="000000"/>
                <w:sz w:val="24"/>
                <w:szCs w:val="24"/>
                <w:highlight w:val="none"/>
              </w:rPr>
            </w:pPr>
            <w:r>
              <w:rPr>
                <w:rFonts w:hint="eastAsia" w:ascii="仿宋" w:hAnsi="仿宋" w:eastAsia="仿宋" w:cs="仿宋"/>
                <w:color w:val="000000"/>
                <w:sz w:val="24"/>
                <w:szCs w:val="24"/>
                <w:highlight w:val="none"/>
              </w:rPr>
              <w:t>具备安全技术服务、消防技术服务合规从业条件，具备相应安全咨询、隐患排查、预案编制服务能力，经营范围包含相关安全技术服务内容。须提供加盖公章的书面声明（格式自拟）。</w:t>
            </w:r>
          </w:p>
        </w:tc>
      </w:tr>
      <w:tr w14:paraId="7B1C5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733F59B6">
            <w:pPr>
              <w:tabs>
                <w:tab w:val="left" w:pos="1080"/>
              </w:tabs>
              <w:snapToGrid w:val="0"/>
              <w:jc w:val="center"/>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6</w:t>
            </w:r>
          </w:p>
        </w:tc>
        <w:tc>
          <w:tcPr>
            <w:tcW w:w="1653" w:type="dxa"/>
            <w:tcBorders>
              <w:top w:val="single" w:color="000000" w:sz="4" w:space="0"/>
              <w:left w:val="single" w:color="000000" w:sz="4" w:space="0"/>
              <w:bottom w:val="single" w:color="000000" w:sz="4" w:space="0"/>
              <w:right w:val="single" w:color="000000" w:sz="4" w:space="0"/>
            </w:tcBorders>
            <w:vAlign w:val="center"/>
          </w:tcPr>
          <w:p w14:paraId="41C2C03B">
            <w:pPr>
              <w:tabs>
                <w:tab w:val="left" w:pos="1080"/>
              </w:tabs>
              <w:snapToGrid w:val="0"/>
              <w:jc w:val="center"/>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业绩要求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220B6E1C">
            <w:pPr>
              <w:tabs>
                <w:tab w:val="left" w:pos="1080"/>
              </w:tabs>
              <w:snapToGrid w:val="0"/>
              <w:jc w:val="left"/>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无</w:t>
            </w:r>
          </w:p>
        </w:tc>
      </w:tr>
      <w:tr w14:paraId="52906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7AC22077">
            <w:pPr>
              <w:tabs>
                <w:tab w:val="left" w:pos="1080"/>
              </w:tabs>
              <w:snapToGrid w:val="0"/>
              <w:jc w:val="center"/>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7</w:t>
            </w:r>
          </w:p>
        </w:tc>
        <w:tc>
          <w:tcPr>
            <w:tcW w:w="1653" w:type="dxa"/>
            <w:tcBorders>
              <w:top w:val="single" w:color="000000" w:sz="4" w:space="0"/>
              <w:left w:val="single" w:color="000000" w:sz="4" w:space="0"/>
              <w:bottom w:val="single" w:color="000000" w:sz="4" w:space="0"/>
              <w:right w:val="single" w:color="000000" w:sz="4" w:space="0"/>
            </w:tcBorders>
            <w:vAlign w:val="center"/>
          </w:tcPr>
          <w:p w14:paraId="650B108E">
            <w:pPr>
              <w:tabs>
                <w:tab w:val="left" w:pos="1080"/>
              </w:tabs>
              <w:snapToGrid w:val="0"/>
              <w:jc w:val="center"/>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人员要求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60CA383A">
            <w:pPr>
              <w:tabs>
                <w:tab w:val="left" w:pos="1080"/>
              </w:tabs>
              <w:snapToGrid w:val="0"/>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至少1人</w:t>
            </w:r>
            <w:r>
              <w:rPr>
                <w:rFonts w:hint="eastAsia" w:ascii="仿宋" w:hAnsi="仿宋" w:eastAsia="仿宋" w:cs="Times New Roman"/>
                <w:color w:val="000000"/>
                <w:sz w:val="24"/>
                <w:szCs w:val="24"/>
                <w:highlight w:val="none"/>
                <w:lang w:val="en-US" w:eastAsia="zh-CN"/>
              </w:rPr>
              <w:t>具有</w:t>
            </w:r>
            <w:r>
              <w:rPr>
                <w:rFonts w:hint="eastAsia" w:ascii="仿宋" w:hAnsi="仿宋" w:eastAsia="仿宋" w:cs="Times New Roman"/>
                <w:color w:val="000000"/>
                <w:sz w:val="24"/>
                <w:szCs w:val="24"/>
                <w:highlight w:val="none"/>
              </w:rPr>
              <w:t>一级注册消防工程师执业资格证书</w:t>
            </w:r>
            <w:r>
              <w:rPr>
                <w:rFonts w:hint="eastAsia" w:ascii="仿宋" w:hAnsi="仿宋" w:eastAsia="仿宋" w:cs="Times New Roman"/>
                <w:color w:val="000000"/>
                <w:sz w:val="24"/>
                <w:szCs w:val="24"/>
                <w:highlight w:val="none"/>
                <w:lang w:eastAsia="zh-CN"/>
              </w:rPr>
              <w:t>、</w:t>
            </w:r>
            <w:r>
              <w:rPr>
                <w:rFonts w:hint="eastAsia" w:ascii="仿宋" w:hAnsi="仿宋" w:eastAsia="仿宋" w:cs="Times New Roman"/>
                <w:color w:val="000000"/>
                <w:sz w:val="24"/>
                <w:szCs w:val="24"/>
                <w:highlight w:val="none"/>
              </w:rPr>
              <w:t>至少1人具备中级及以上注册安全工程师执业资格证书（提供证书复印件并加盖单位公章）</w:t>
            </w:r>
          </w:p>
        </w:tc>
      </w:tr>
      <w:tr w14:paraId="10DED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36"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308DB339">
            <w:pPr>
              <w:tabs>
                <w:tab w:val="left" w:pos="1080"/>
              </w:tabs>
              <w:snapToGrid w:val="0"/>
              <w:jc w:val="center"/>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8</w:t>
            </w:r>
          </w:p>
        </w:tc>
        <w:tc>
          <w:tcPr>
            <w:tcW w:w="1653" w:type="dxa"/>
            <w:tcBorders>
              <w:top w:val="single" w:color="000000" w:sz="4" w:space="0"/>
              <w:left w:val="single" w:color="000000" w:sz="4" w:space="0"/>
              <w:bottom w:val="single" w:color="000000" w:sz="4" w:space="0"/>
              <w:right w:val="single" w:color="000000" w:sz="4" w:space="0"/>
            </w:tcBorders>
            <w:vAlign w:val="center"/>
          </w:tcPr>
          <w:p w14:paraId="6439CB8A">
            <w:pPr>
              <w:tabs>
                <w:tab w:val="left" w:pos="1080"/>
              </w:tabs>
              <w:snapToGrid w:val="0"/>
              <w:jc w:val="center"/>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本项目的其他特定资格要求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1CF7726A">
            <w:pPr>
              <w:tabs>
                <w:tab w:val="left" w:pos="1080"/>
              </w:tabs>
              <w:snapToGrid w:val="0"/>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如有，详见二、投标人的资格要求，提供证明文件的电子件或电子证照。</w:t>
            </w:r>
          </w:p>
        </w:tc>
      </w:tr>
      <w:tr w14:paraId="02359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57A5FF03">
            <w:pPr>
              <w:tabs>
                <w:tab w:val="left" w:pos="1080"/>
              </w:tabs>
              <w:snapToGrid w:val="0"/>
              <w:jc w:val="center"/>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9</w:t>
            </w:r>
          </w:p>
        </w:tc>
        <w:tc>
          <w:tcPr>
            <w:tcW w:w="1653" w:type="dxa"/>
            <w:tcBorders>
              <w:top w:val="single" w:color="000000" w:sz="4" w:space="0"/>
              <w:left w:val="single" w:color="000000" w:sz="4" w:space="0"/>
              <w:bottom w:val="single" w:color="000000" w:sz="4" w:space="0"/>
              <w:right w:val="single" w:color="000000" w:sz="4" w:space="0"/>
            </w:tcBorders>
            <w:vAlign w:val="center"/>
          </w:tcPr>
          <w:p w14:paraId="160EB08D">
            <w:pPr>
              <w:tabs>
                <w:tab w:val="left" w:pos="1080"/>
              </w:tabs>
              <w:snapToGrid w:val="0"/>
              <w:jc w:val="center"/>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法律、行政法规规定的其他条件（如有）</w:t>
            </w:r>
          </w:p>
        </w:tc>
        <w:tc>
          <w:tcPr>
            <w:tcW w:w="7200" w:type="dxa"/>
            <w:tcBorders>
              <w:top w:val="single" w:color="000000" w:sz="4" w:space="0"/>
              <w:left w:val="single" w:color="000000" w:sz="4" w:space="0"/>
              <w:bottom w:val="single" w:color="000000" w:sz="4" w:space="0"/>
              <w:right w:val="single" w:color="000000" w:sz="4" w:space="0"/>
            </w:tcBorders>
            <w:vAlign w:val="center"/>
          </w:tcPr>
          <w:p w14:paraId="5E3F7CEA">
            <w:pPr>
              <w:tabs>
                <w:tab w:val="left" w:pos="1080"/>
              </w:tabs>
              <w:snapToGrid w:val="0"/>
              <w:jc w:val="left"/>
              <w:rPr>
                <w:rFonts w:ascii="仿宋" w:hAnsi="仿宋" w:eastAsia="仿宋" w:cs="Times New Roman"/>
                <w:color w:val="000000"/>
                <w:sz w:val="24"/>
                <w:szCs w:val="24"/>
                <w:highlight w:val="none"/>
              </w:rPr>
            </w:pPr>
            <w:r>
              <w:rPr>
                <w:rFonts w:hint="eastAsia" w:ascii="仿宋" w:hAnsi="仿宋" w:eastAsia="仿宋" w:cs="Times New Roman"/>
                <w:color w:val="000000"/>
                <w:sz w:val="24"/>
                <w:szCs w:val="24"/>
                <w:highlight w:val="none"/>
              </w:rPr>
              <w:t>法律、行政法规规定的其他条件</w:t>
            </w:r>
          </w:p>
        </w:tc>
      </w:tr>
    </w:tbl>
    <w:p w14:paraId="6259935D">
      <w:pPr>
        <w:widowControl/>
        <w:shd w:val="clear" w:color="auto" w:fill="FFFFFF"/>
        <w:spacing w:line="520" w:lineRule="exact"/>
        <w:contextualSpacing/>
        <w:rPr>
          <w:rFonts w:ascii="仿宋" w:hAnsi="仿宋" w:eastAsia="仿宋" w:cs="Segoe UI"/>
          <w:b/>
          <w:bCs/>
          <w:sz w:val="32"/>
          <w:szCs w:val="32"/>
          <w:highlight w:val="none"/>
        </w:rPr>
      </w:pPr>
    </w:p>
    <w:p w14:paraId="528390A9">
      <w:pPr>
        <w:rPr>
          <w:rFonts w:ascii="仿宋" w:hAnsi="仿宋" w:eastAsia="仿宋" w:cs="Segoe UI"/>
          <w:bCs/>
          <w:color w:val="0F1115"/>
          <w:kern w:val="0"/>
          <w:szCs w:val="21"/>
          <w:highlight w:val="none"/>
        </w:rPr>
      </w:pPr>
      <w:r>
        <w:rPr>
          <w:rFonts w:ascii="仿宋" w:hAnsi="仿宋" w:eastAsia="仿宋" w:cs="Segoe UI"/>
          <w:bCs/>
          <w:color w:val="0F1115"/>
          <w:kern w:val="0"/>
          <w:szCs w:val="21"/>
          <w:highlight w:val="none"/>
        </w:rPr>
        <w:br w:type="page"/>
      </w:r>
    </w:p>
    <w:p w14:paraId="5A267B02">
      <w:pPr>
        <w:widowControl/>
        <w:shd w:val="clear" w:color="auto" w:fill="FFFFFF"/>
        <w:spacing w:line="520" w:lineRule="exact"/>
        <w:contextualSpacing/>
        <w:jc w:val="left"/>
        <w:rPr>
          <w:rFonts w:ascii="仿宋" w:hAnsi="仿宋" w:eastAsia="仿宋" w:cs="Segoe UI"/>
          <w:color w:val="0F1115"/>
          <w:kern w:val="0"/>
          <w:szCs w:val="21"/>
          <w:highlight w:val="none"/>
        </w:rPr>
      </w:pPr>
      <w:r>
        <w:rPr>
          <w:rFonts w:ascii="仿宋" w:hAnsi="仿宋" w:eastAsia="仿宋" w:cs="Segoe UI"/>
          <w:bCs/>
          <w:color w:val="0F1115"/>
          <w:kern w:val="0"/>
          <w:szCs w:val="21"/>
          <w:highlight w:val="none"/>
        </w:rPr>
        <w:t>资格性审查总体结论记录表</w:t>
      </w:r>
    </w:p>
    <w:p w14:paraId="43A1DD79">
      <w:pPr>
        <w:widowControl/>
        <w:shd w:val="clear" w:color="auto" w:fill="FFFFFF"/>
        <w:spacing w:line="520" w:lineRule="exact"/>
        <w:contextualSpacing/>
        <w:jc w:val="left"/>
        <w:rPr>
          <w:rFonts w:ascii="仿宋" w:hAnsi="仿宋" w:eastAsia="仿宋" w:cs="Segoe UI"/>
          <w:color w:val="0F1115"/>
          <w:kern w:val="0"/>
          <w:szCs w:val="21"/>
          <w:highlight w:val="none"/>
        </w:rPr>
      </w:pPr>
      <w:r>
        <w:rPr>
          <w:rFonts w:ascii="仿宋" w:hAnsi="仿宋" w:eastAsia="仿宋" w:cs="Segoe UI"/>
          <w:bCs/>
          <w:color w:val="0F1115"/>
          <w:kern w:val="0"/>
          <w:szCs w:val="21"/>
          <w:highlight w:val="none"/>
        </w:rPr>
        <w:t>评审员填写指引：</w:t>
      </w:r>
    </w:p>
    <w:p w14:paraId="4698A0C0">
      <w:pPr>
        <w:widowControl/>
        <w:numPr>
          <w:ilvl w:val="0"/>
          <w:numId w:val="1"/>
        </w:numPr>
        <w:shd w:val="clear" w:color="auto" w:fill="FFFFFF"/>
        <w:tabs>
          <w:tab w:val="clear" w:pos="720"/>
        </w:tabs>
        <w:spacing w:line="520" w:lineRule="exact"/>
        <w:ind w:left="0" w:firstLine="0"/>
        <w:contextualSpacing/>
        <w:jc w:val="left"/>
        <w:rPr>
          <w:rFonts w:ascii="仿宋" w:hAnsi="仿宋" w:eastAsia="仿宋" w:cs="Segoe UI"/>
          <w:color w:val="0F1115"/>
          <w:kern w:val="0"/>
          <w:szCs w:val="21"/>
          <w:highlight w:val="none"/>
        </w:rPr>
      </w:pPr>
      <w:r>
        <w:rPr>
          <w:rFonts w:ascii="仿宋" w:hAnsi="仿宋" w:eastAsia="仿宋" w:cs="Segoe UI"/>
          <w:color w:val="0F1115"/>
          <w:kern w:val="0"/>
          <w:szCs w:val="21"/>
          <w:highlight w:val="none"/>
        </w:rPr>
        <w:t>请根据上表对每家参选人进行逐项审查，并在评审会议记录中载明各分项结论。</w:t>
      </w:r>
    </w:p>
    <w:p w14:paraId="638BD91C">
      <w:pPr>
        <w:widowControl/>
        <w:numPr>
          <w:ilvl w:val="0"/>
          <w:numId w:val="1"/>
        </w:numPr>
        <w:shd w:val="clear" w:color="auto" w:fill="FFFFFF"/>
        <w:tabs>
          <w:tab w:val="clear" w:pos="720"/>
        </w:tabs>
        <w:spacing w:line="520" w:lineRule="exact"/>
        <w:ind w:left="0" w:firstLine="0"/>
        <w:contextualSpacing/>
        <w:jc w:val="left"/>
        <w:rPr>
          <w:rFonts w:ascii="仿宋" w:hAnsi="仿宋" w:eastAsia="仿宋" w:cs="Segoe UI"/>
          <w:color w:val="0F1115"/>
          <w:kern w:val="0"/>
          <w:szCs w:val="21"/>
          <w:highlight w:val="none"/>
        </w:rPr>
      </w:pPr>
      <w:r>
        <w:rPr>
          <w:rFonts w:ascii="仿宋" w:hAnsi="仿宋" w:eastAsia="仿宋" w:cs="Segoe UI"/>
          <w:color w:val="0F1115"/>
          <w:kern w:val="0"/>
          <w:szCs w:val="21"/>
          <w:highlight w:val="none"/>
        </w:rPr>
        <w:t>完成逐项审查后，根据评审原则（有一项不通过则总体不通过），在本表记录总体结论。</w:t>
      </w:r>
    </w:p>
    <w:p w14:paraId="7D6EC352">
      <w:pPr>
        <w:widowControl/>
        <w:numPr>
          <w:ilvl w:val="0"/>
          <w:numId w:val="1"/>
        </w:numPr>
        <w:shd w:val="clear" w:color="auto" w:fill="FFFFFF"/>
        <w:tabs>
          <w:tab w:val="clear" w:pos="720"/>
        </w:tabs>
        <w:spacing w:line="520" w:lineRule="exact"/>
        <w:ind w:left="0" w:firstLine="0"/>
        <w:contextualSpacing/>
        <w:jc w:val="left"/>
        <w:rPr>
          <w:rFonts w:ascii="仿宋" w:hAnsi="仿宋" w:eastAsia="仿宋" w:cs="Segoe UI"/>
          <w:color w:val="0F1115"/>
          <w:kern w:val="0"/>
          <w:szCs w:val="21"/>
          <w:highlight w:val="none"/>
        </w:rPr>
      </w:pPr>
      <w:r>
        <w:rPr>
          <w:rFonts w:ascii="仿宋" w:hAnsi="仿宋" w:eastAsia="仿宋" w:cs="Segoe UI"/>
          <w:color w:val="0F1115"/>
          <w:kern w:val="0"/>
          <w:szCs w:val="21"/>
          <w:highlight w:val="none"/>
        </w:rPr>
        <w:t>对结论为“不通过”的参选人，必须在“不通过原因说明”栏中，清晰、具体地注明所违反的审查项目序号及事实依据。</w:t>
      </w:r>
    </w:p>
    <w:tbl>
      <w:tblPr>
        <w:tblStyle w:val="5"/>
        <w:tblW w:w="9781" w:type="dxa"/>
        <w:tblInd w:w="-714"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15" w:type="dxa"/>
          <w:left w:w="15" w:type="dxa"/>
          <w:bottom w:w="15" w:type="dxa"/>
          <w:right w:w="15" w:type="dxa"/>
        </w:tblCellMar>
      </w:tblPr>
      <w:tblGrid>
        <w:gridCol w:w="709"/>
        <w:gridCol w:w="3828"/>
        <w:gridCol w:w="1842"/>
        <w:gridCol w:w="3402"/>
      </w:tblGrid>
      <w:tr w14:paraId="67C5316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blHeader/>
        </w:trPr>
        <w:tc>
          <w:tcPr>
            <w:tcW w:w="709" w:type="dxa"/>
            <w:tcMar>
              <w:top w:w="150" w:type="dxa"/>
              <w:left w:w="0" w:type="dxa"/>
              <w:bottom w:w="150" w:type="dxa"/>
              <w:right w:w="240" w:type="dxa"/>
            </w:tcMar>
            <w:vAlign w:val="center"/>
          </w:tcPr>
          <w:p w14:paraId="3682F9D4">
            <w:pPr>
              <w:widowControl/>
              <w:spacing w:line="520" w:lineRule="exact"/>
              <w:contextualSpacing/>
              <w:jc w:val="left"/>
              <w:rPr>
                <w:rFonts w:ascii="仿宋" w:hAnsi="仿宋" w:eastAsia="仿宋" w:cs="宋体"/>
                <w:bCs/>
                <w:kern w:val="0"/>
                <w:szCs w:val="21"/>
                <w:highlight w:val="none"/>
              </w:rPr>
            </w:pPr>
            <w:r>
              <w:rPr>
                <w:rFonts w:ascii="仿宋" w:hAnsi="仿宋" w:eastAsia="仿宋" w:cs="宋体"/>
                <w:bCs/>
                <w:kern w:val="0"/>
                <w:szCs w:val="21"/>
                <w:highlight w:val="none"/>
              </w:rPr>
              <w:t>序号</w:t>
            </w:r>
          </w:p>
        </w:tc>
        <w:tc>
          <w:tcPr>
            <w:tcW w:w="3828" w:type="dxa"/>
            <w:tcMar>
              <w:top w:w="150" w:type="dxa"/>
              <w:left w:w="240" w:type="dxa"/>
              <w:bottom w:w="150" w:type="dxa"/>
              <w:right w:w="240" w:type="dxa"/>
            </w:tcMar>
            <w:vAlign w:val="center"/>
          </w:tcPr>
          <w:p w14:paraId="19F945E2">
            <w:pPr>
              <w:widowControl/>
              <w:spacing w:line="520" w:lineRule="exact"/>
              <w:contextualSpacing/>
              <w:jc w:val="left"/>
              <w:rPr>
                <w:rFonts w:ascii="仿宋" w:hAnsi="仿宋" w:eastAsia="仿宋" w:cs="宋体"/>
                <w:bCs/>
                <w:kern w:val="0"/>
                <w:szCs w:val="21"/>
                <w:highlight w:val="none"/>
              </w:rPr>
            </w:pPr>
            <w:r>
              <w:rPr>
                <w:rFonts w:ascii="仿宋" w:hAnsi="仿宋" w:eastAsia="仿宋" w:cs="宋体"/>
                <w:bCs/>
                <w:kern w:val="0"/>
                <w:szCs w:val="21"/>
                <w:highlight w:val="none"/>
              </w:rPr>
              <w:t>参选人名称</w:t>
            </w:r>
          </w:p>
        </w:tc>
        <w:tc>
          <w:tcPr>
            <w:tcW w:w="1842" w:type="dxa"/>
            <w:tcMar>
              <w:top w:w="150" w:type="dxa"/>
              <w:left w:w="240" w:type="dxa"/>
              <w:bottom w:w="150" w:type="dxa"/>
              <w:right w:w="240" w:type="dxa"/>
            </w:tcMar>
            <w:vAlign w:val="center"/>
          </w:tcPr>
          <w:p w14:paraId="531BE0F4">
            <w:pPr>
              <w:widowControl/>
              <w:spacing w:line="520" w:lineRule="exact"/>
              <w:contextualSpacing/>
              <w:jc w:val="left"/>
              <w:rPr>
                <w:rFonts w:ascii="仿宋" w:hAnsi="仿宋" w:eastAsia="仿宋" w:cs="宋体"/>
                <w:bCs/>
                <w:kern w:val="0"/>
                <w:szCs w:val="21"/>
                <w:highlight w:val="none"/>
              </w:rPr>
            </w:pPr>
            <w:r>
              <w:rPr>
                <w:rFonts w:ascii="仿宋" w:hAnsi="仿宋" w:eastAsia="仿宋" w:cs="宋体"/>
                <w:bCs/>
                <w:kern w:val="0"/>
                <w:szCs w:val="21"/>
                <w:highlight w:val="none"/>
              </w:rPr>
              <w:t>总体审查结论</w:t>
            </w:r>
          </w:p>
        </w:tc>
        <w:tc>
          <w:tcPr>
            <w:tcW w:w="3402" w:type="dxa"/>
            <w:tcMar>
              <w:top w:w="150" w:type="dxa"/>
              <w:left w:w="240" w:type="dxa"/>
              <w:bottom w:w="150" w:type="dxa"/>
              <w:right w:w="240" w:type="dxa"/>
            </w:tcMar>
            <w:vAlign w:val="center"/>
          </w:tcPr>
          <w:p w14:paraId="695794C2">
            <w:pPr>
              <w:widowControl/>
              <w:spacing w:line="520" w:lineRule="exact"/>
              <w:contextualSpacing/>
              <w:jc w:val="left"/>
              <w:rPr>
                <w:rFonts w:ascii="仿宋" w:hAnsi="仿宋" w:eastAsia="仿宋" w:cs="宋体"/>
                <w:bCs/>
                <w:kern w:val="0"/>
                <w:szCs w:val="21"/>
                <w:highlight w:val="none"/>
              </w:rPr>
            </w:pPr>
            <w:r>
              <w:rPr>
                <w:rFonts w:ascii="仿宋" w:hAnsi="仿宋" w:eastAsia="仿宋" w:cs="宋体"/>
                <w:bCs/>
                <w:kern w:val="0"/>
                <w:szCs w:val="21"/>
                <w:highlight w:val="none"/>
              </w:rPr>
              <w:t>不通过原因说明 (仅当结论为“不通过”时填写)</w:t>
            </w:r>
          </w:p>
        </w:tc>
      </w:tr>
      <w:tr w14:paraId="05F48E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3187948F">
            <w:pPr>
              <w:widowControl/>
              <w:spacing w:line="520" w:lineRule="exact"/>
              <w:contextualSpacing/>
              <w:jc w:val="left"/>
              <w:rPr>
                <w:rFonts w:ascii="仿宋" w:hAnsi="仿宋" w:eastAsia="仿宋" w:cs="宋体"/>
                <w:kern w:val="0"/>
                <w:szCs w:val="21"/>
                <w:highlight w:val="none"/>
              </w:rPr>
            </w:pPr>
            <w:r>
              <w:rPr>
                <w:rFonts w:ascii="仿宋" w:hAnsi="仿宋" w:eastAsia="仿宋" w:cs="宋体"/>
                <w:kern w:val="0"/>
                <w:szCs w:val="21"/>
                <w:highlight w:val="none"/>
              </w:rPr>
              <w:t>1</w:t>
            </w:r>
          </w:p>
        </w:tc>
        <w:tc>
          <w:tcPr>
            <w:tcW w:w="3828" w:type="dxa"/>
            <w:tcMar>
              <w:top w:w="150" w:type="dxa"/>
              <w:left w:w="240" w:type="dxa"/>
              <w:bottom w:w="150" w:type="dxa"/>
              <w:right w:w="240" w:type="dxa"/>
            </w:tcMar>
            <w:vAlign w:val="center"/>
          </w:tcPr>
          <w:p w14:paraId="413E0A91">
            <w:pPr>
              <w:widowControl/>
              <w:spacing w:line="520" w:lineRule="exact"/>
              <w:contextualSpacing/>
              <w:jc w:val="left"/>
              <w:rPr>
                <w:rFonts w:ascii="仿宋" w:hAnsi="仿宋" w:eastAsia="仿宋" w:cs="宋体"/>
                <w:kern w:val="0"/>
                <w:szCs w:val="21"/>
                <w:highlight w:val="none"/>
              </w:rPr>
            </w:pPr>
          </w:p>
        </w:tc>
        <w:tc>
          <w:tcPr>
            <w:tcW w:w="1842" w:type="dxa"/>
            <w:tcMar>
              <w:top w:w="150" w:type="dxa"/>
              <w:left w:w="240" w:type="dxa"/>
              <w:bottom w:w="150" w:type="dxa"/>
              <w:right w:w="240" w:type="dxa"/>
            </w:tcMar>
            <w:vAlign w:val="center"/>
          </w:tcPr>
          <w:p w14:paraId="2A874156">
            <w:pPr>
              <w:widowControl/>
              <w:spacing w:line="520" w:lineRule="exact"/>
              <w:contextualSpacing/>
              <w:jc w:val="left"/>
              <w:rPr>
                <w:rFonts w:ascii="仿宋" w:hAnsi="仿宋" w:eastAsia="仿宋" w:cs="宋体"/>
                <w:kern w:val="0"/>
                <w:szCs w:val="21"/>
                <w:highlight w:val="none"/>
              </w:rPr>
            </w:pPr>
            <w:r>
              <w:rPr>
                <w:rFonts w:ascii="Segoe UI Symbol" w:hAnsi="Segoe UI Symbol" w:eastAsia="仿宋" w:cs="Segoe UI Symbol"/>
                <w:kern w:val="0"/>
                <w:szCs w:val="21"/>
                <w:highlight w:val="none"/>
              </w:rPr>
              <w:t>☐</w:t>
            </w:r>
            <w:r>
              <w:rPr>
                <w:rFonts w:ascii="仿宋" w:hAnsi="仿宋" w:eastAsia="仿宋" w:cs="宋体"/>
                <w:kern w:val="0"/>
                <w:szCs w:val="21"/>
                <w:highlight w:val="none"/>
              </w:rPr>
              <w:t xml:space="preserve"> 通过 </w:t>
            </w:r>
          </w:p>
          <w:p w14:paraId="41D23A7F">
            <w:pPr>
              <w:widowControl/>
              <w:spacing w:line="520" w:lineRule="exact"/>
              <w:contextualSpacing/>
              <w:jc w:val="left"/>
              <w:rPr>
                <w:rFonts w:ascii="仿宋" w:hAnsi="仿宋" w:eastAsia="仿宋" w:cs="宋体"/>
                <w:kern w:val="0"/>
                <w:szCs w:val="21"/>
                <w:highlight w:val="none"/>
              </w:rPr>
            </w:pPr>
            <w:r>
              <w:rPr>
                <w:rFonts w:ascii="Segoe UI Symbol" w:hAnsi="Segoe UI Symbol" w:eastAsia="仿宋" w:cs="Segoe UI Symbol"/>
                <w:kern w:val="0"/>
                <w:szCs w:val="21"/>
                <w:highlight w:val="none"/>
              </w:rPr>
              <w:t>☐</w:t>
            </w:r>
            <w:r>
              <w:rPr>
                <w:rFonts w:ascii="仿宋" w:hAnsi="仿宋" w:eastAsia="仿宋" w:cs="宋体"/>
                <w:kern w:val="0"/>
                <w:szCs w:val="21"/>
                <w:highlight w:val="none"/>
              </w:rPr>
              <w:t xml:space="preserve"> 不通过</w:t>
            </w:r>
          </w:p>
        </w:tc>
        <w:tc>
          <w:tcPr>
            <w:tcW w:w="3402" w:type="dxa"/>
            <w:tcMar>
              <w:top w:w="150" w:type="dxa"/>
              <w:left w:w="240" w:type="dxa"/>
              <w:bottom w:w="150" w:type="dxa"/>
              <w:right w:w="0" w:type="dxa"/>
            </w:tcMar>
            <w:vAlign w:val="center"/>
          </w:tcPr>
          <w:p w14:paraId="4A07D60F">
            <w:pPr>
              <w:widowControl/>
              <w:spacing w:line="520" w:lineRule="exact"/>
              <w:contextualSpacing/>
              <w:jc w:val="left"/>
              <w:rPr>
                <w:rFonts w:ascii="仿宋" w:hAnsi="仿宋" w:eastAsia="仿宋" w:cs="宋体"/>
                <w:kern w:val="0"/>
                <w:szCs w:val="21"/>
                <w:highlight w:val="none"/>
              </w:rPr>
            </w:pPr>
          </w:p>
        </w:tc>
      </w:tr>
      <w:tr w14:paraId="24039F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38509E0A">
            <w:pPr>
              <w:widowControl/>
              <w:spacing w:line="520" w:lineRule="exact"/>
              <w:contextualSpacing/>
              <w:jc w:val="left"/>
              <w:rPr>
                <w:rFonts w:ascii="仿宋" w:hAnsi="仿宋" w:eastAsia="仿宋" w:cs="宋体"/>
                <w:kern w:val="0"/>
                <w:szCs w:val="21"/>
                <w:highlight w:val="none"/>
              </w:rPr>
            </w:pPr>
            <w:r>
              <w:rPr>
                <w:rFonts w:ascii="仿宋" w:hAnsi="仿宋" w:eastAsia="仿宋" w:cs="宋体"/>
                <w:kern w:val="0"/>
                <w:szCs w:val="21"/>
                <w:highlight w:val="none"/>
              </w:rPr>
              <w:t>2</w:t>
            </w:r>
          </w:p>
        </w:tc>
        <w:tc>
          <w:tcPr>
            <w:tcW w:w="3828" w:type="dxa"/>
            <w:tcMar>
              <w:top w:w="150" w:type="dxa"/>
              <w:left w:w="240" w:type="dxa"/>
              <w:bottom w:w="150" w:type="dxa"/>
              <w:right w:w="240" w:type="dxa"/>
            </w:tcMar>
            <w:vAlign w:val="center"/>
          </w:tcPr>
          <w:p w14:paraId="3158138E">
            <w:pPr>
              <w:widowControl/>
              <w:spacing w:line="520" w:lineRule="exact"/>
              <w:contextualSpacing/>
              <w:jc w:val="left"/>
              <w:rPr>
                <w:rFonts w:ascii="仿宋" w:hAnsi="仿宋" w:eastAsia="仿宋" w:cs="宋体"/>
                <w:kern w:val="0"/>
                <w:szCs w:val="21"/>
                <w:highlight w:val="none"/>
              </w:rPr>
            </w:pPr>
          </w:p>
        </w:tc>
        <w:tc>
          <w:tcPr>
            <w:tcW w:w="1842" w:type="dxa"/>
            <w:tcMar>
              <w:top w:w="150" w:type="dxa"/>
              <w:left w:w="240" w:type="dxa"/>
              <w:bottom w:w="150" w:type="dxa"/>
              <w:right w:w="240" w:type="dxa"/>
            </w:tcMar>
            <w:vAlign w:val="center"/>
          </w:tcPr>
          <w:p w14:paraId="3F53A824">
            <w:pPr>
              <w:widowControl/>
              <w:spacing w:line="520" w:lineRule="exact"/>
              <w:contextualSpacing/>
              <w:jc w:val="left"/>
              <w:rPr>
                <w:rFonts w:ascii="仿宋" w:hAnsi="仿宋" w:eastAsia="仿宋" w:cs="宋体"/>
                <w:kern w:val="0"/>
                <w:szCs w:val="21"/>
                <w:highlight w:val="none"/>
              </w:rPr>
            </w:pPr>
            <w:r>
              <w:rPr>
                <w:rFonts w:ascii="Segoe UI Symbol" w:hAnsi="Segoe UI Symbol" w:eastAsia="仿宋" w:cs="Segoe UI Symbol"/>
                <w:kern w:val="0"/>
                <w:szCs w:val="21"/>
                <w:highlight w:val="none"/>
              </w:rPr>
              <w:t>☐</w:t>
            </w:r>
            <w:r>
              <w:rPr>
                <w:rFonts w:ascii="仿宋" w:hAnsi="仿宋" w:eastAsia="仿宋" w:cs="宋体"/>
                <w:kern w:val="0"/>
                <w:szCs w:val="21"/>
                <w:highlight w:val="none"/>
              </w:rPr>
              <w:t xml:space="preserve"> 通过 </w:t>
            </w:r>
          </w:p>
          <w:p w14:paraId="30AA387E">
            <w:pPr>
              <w:widowControl/>
              <w:spacing w:line="520" w:lineRule="exact"/>
              <w:contextualSpacing/>
              <w:jc w:val="left"/>
              <w:rPr>
                <w:rFonts w:ascii="仿宋" w:hAnsi="仿宋" w:eastAsia="仿宋" w:cs="宋体"/>
                <w:kern w:val="0"/>
                <w:szCs w:val="21"/>
                <w:highlight w:val="none"/>
              </w:rPr>
            </w:pPr>
            <w:r>
              <w:rPr>
                <w:rFonts w:ascii="Segoe UI Symbol" w:hAnsi="Segoe UI Symbol" w:eastAsia="仿宋" w:cs="Segoe UI Symbol"/>
                <w:kern w:val="0"/>
                <w:szCs w:val="21"/>
                <w:highlight w:val="none"/>
              </w:rPr>
              <w:t>☐</w:t>
            </w:r>
            <w:r>
              <w:rPr>
                <w:rFonts w:ascii="仿宋" w:hAnsi="仿宋" w:eastAsia="仿宋" w:cs="宋体"/>
                <w:kern w:val="0"/>
                <w:szCs w:val="21"/>
                <w:highlight w:val="none"/>
              </w:rPr>
              <w:t xml:space="preserve"> 不通过</w:t>
            </w:r>
          </w:p>
        </w:tc>
        <w:tc>
          <w:tcPr>
            <w:tcW w:w="3402" w:type="dxa"/>
            <w:tcMar>
              <w:top w:w="150" w:type="dxa"/>
              <w:left w:w="240" w:type="dxa"/>
              <w:bottom w:w="150" w:type="dxa"/>
              <w:right w:w="0" w:type="dxa"/>
            </w:tcMar>
            <w:vAlign w:val="center"/>
          </w:tcPr>
          <w:p w14:paraId="440105E2">
            <w:pPr>
              <w:widowControl/>
              <w:spacing w:line="520" w:lineRule="exact"/>
              <w:contextualSpacing/>
              <w:jc w:val="left"/>
              <w:rPr>
                <w:rFonts w:ascii="仿宋" w:hAnsi="仿宋" w:eastAsia="仿宋" w:cs="宋体"/>
                <w:kern w:val="0"/>
                <w:szCs w:val="21"/>
                <w:highlight w:val="none"/>
              </w:rPr>
            </w:pPr>
          </w:p>
        </w:tc>
      </w:tr>
      <w:tr w14:paraId="576BFF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33163A07">
            <w:pPr>
              <w:widowControl/>
              <w:spacing w:line="520" w:lineRule="exact"/>
              <w:contextualSpacing/>
              <w:jc w:val="left"/>
              <w:rPr>
                <w:rFonts w:ascii="仿宋" w:hAnsi="仿宋" w:eastAsia="仿宋" w:cs="宋体"/>
                <w:kern w:val="0"/>
                <w:szCs w:val="21"/>
                <w:highlight w:val="none"/>
              </w:rPr>
            </w:pPr>
            <w:r>
              <w:rPr>
                <w:rFonts w:ascii="仿宋" w:hAnsi="仿宋" w:eastAsia="仿宋" w:cs="宋体"/>
                <w:kern w:val="0"/>
                <w:szCs w:val="21"/>
                <w:highlight w:val="none"/>
              </w:rPr>
              <w:t>3</w:t>
            </w:r>
          </w:p>
        </w:tc>
        <w:tc>
          <w:tcPr>
            <w:tcW w:w="3828" w:type="dxa"/>
            <w:tcMar>
              <w:top w:w="150" w:type="dxa"/>
              <w:left w:w="240" w:type="dxa"/>
              <w:bottom w:w="150" w:type="dxa"/>
              <w:right w:w="240" w:type="dxa"/>
            </w:tcMar>
            <w:vAlign w:val="center"/>
          </w:tcPr>
          <w:p w14:paraId="076B0440">
            <w:pPr>
              <w:widowControl/>
              <w:spacing w:line="520" w:lineRule="exact"/>
              <w:contextualSpacing/>
              <w:jc w:val="left"/>
              <w:rPr>
                <w:rFonts w:ascii="仿宋" w:hAnsi="仿宋" w:eastAsia="仿宋" w:cs="宋体"/>
                <w:kern w:val="0"/>
                <w:szCs w:val="21"/>
                <w:highlight w:val="none"/>
              </w:rPr>
            </w:pPr>
          </w:p>
        </w:tc>
        <w:tc>
          <w:tcPr>
            <w:tcW w:w="1842" w:type="dxa"/>
            <w:tcMar>
              <w:top w:w="150" w:type="dxa"/>
              <w:left w:w="240" w:type="dxa"/>
              <w:bottom w:w="150" w:type="dxa"/>
              <w:right w:w="240" w:type="dxa"/>
            </w:tcMar>
            <w:vAlign w:val="center"/>
          </w:tcPr>
          <w:p w14:paraId="4A368284">
            <w:pPr>
              <w:widowControl/>
              <w:spacing w:line="520" w:lineRule="exact"/>
              <w:contextualSpacing/>
              <w:jc w:val="left"/>
              <w:rPr>
                <w:rFonts w:ascii="仿宋" w:hAnsi="仿宋" w:eastAsia="仿宋" w:cs="宋体"/>
                <w:kern w:val="0"/>
                <w:szCs w:val="21"/>
                <w:highlight w:val="none"/>
              </w:rPr>
            </w:pPr>
            <w:r>
              <w:rPr>
                <w:rFonts w:ascii="Segoe UI Symbol" w:hAnsi="Segoe UI Symbol" w:eastAsia="仿宋" w:cs="Segoe UI Symbol"/>
                <w:kern w:val="0"/>
                <w:szCs w:val="21"/>
                <w:highlight w:val="none"/>
              </w:rPr>
              <w:t>☐</w:t>
            </w:r>
            <w:r>
              <w:rPr>
                <w:rFonts w:ascii="仿宋" w:hAnsi="仿宋" w:eastAsia="仿宋" w:cs="宋体"/>
                <w:kern w:val="0"/>
                <w:szCs w:val="21"/>
                <w:highlight w:val="none"/>
              </w:rPr>
              <w:t xml:space="preserve"> 通过 </w:t>
            </w:r>
          </w:p>
          <w:p w14:paraId="346D80B2">
            <w:pPr>
              <w:widowControl/>
              <w:spacing w:line="520" w:lineRule="exact"/>
              <w:contextualSpacing/>
              <w:jc w:val="left"/>
              <w:rPr>
                <w:rFonts w:ascii="仿宋" w:hAnsi="仿宋" w:eastAsia="仿宋" w:cs="宋体"/>
                <w:kern w:val="0"/>
                <w:szCs w:val="21"/>
                <w:highlight w:val="none"/>
              </w:rPr>
            </w:pPr>
            <w:r>
              <w:rPr>
                <w:rFonts w:ascii="Segoe UI Symbol" w:hAnsi="Segoe UI Symbol" w:eastAsia="仿宋" w:cs="Segoe UI Symbol"/>
                <w:kern w:val="0"/>
                <w:szCs w:val="21"/>
                <w:highlight w:val="none"/>
              </w:rPr>
              <w:t>☐</w:t>
            </w:r>
            <w:r>
              <w:rPr>
                <w:rFonts w:ascii="仿宋" w:hAnsi="仿宋" w:eastAsia="仿宋" w:cs="宋体"/>
                <w:kern w:val="0"/>
                <w:szCs w:val="21"/>
                <w:highlight w:val="none"/>
              </w:rPr>
              <w:t xml:space="preserve"> 不通过</w:t>
            </w:r>
          </w:p>
        </w:tc>
        <w:tc>
          <w:tcPr>
            <w:tcW w:w="3402" w:type="dxa"/>
            <w:tcMar>
              <w:top w:w="150" w:type="dxa"/>
              <w:left w:w="240" w:type="dxa"/>
              <w:bottom w:w="150" w:type="dxa"/>
              <w:right w:w="0" w:type="dxa"/>
            </w:tcMar>
            <w:vAlign w:val="center"/>
          </w:tcPr>
          <w:p w14:paraId="244EB650">
            <w:pPr>
              <w:widowControl/>
              <w:spacing w:line="520" w:lineRule="exact"/>
              <w:contextualSpacing/>
              <w:jc w:val="left"/>
              <w:rPr>
                <w:rFonts w:ascii="仿宋" w:hAnsi="仿宋" w:eastAsia="仿宋" w:cs="宋体"/>
                <w:kern w:val="0"/>
                <w:szCs w:val="21"/>
                <w:highlight w:val="none"/>
              </w:rPr>
            </w:pPr>
          </w:p>
        </w:tc>
      </w:tr>
      <w:tr w14:paraId="15E557F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04F84DA7">
            <w:pPr>
              <w:widowControl/>
              <w:spacing w:line="520" w:lineRule="exact"/>
              <w:contextualSpacing/>
              <w:jc w:val="left"/>
              <w:rPr>
                <w:rFonts w:ascii="仿宋" w:hAnsi="仿宋" w:eastAsia="仿宋" w:cs="宋体"/>
                <w:kern w:val="0"/>
                <w:szCs w:val="21"/>
                <w:highlight w:val="none"/>
              </w:rPr>
            </w:pPr>
            <w:r>
              <w:rPr>
                <w:rFonts w:ascii="仿宋" w:hAnsi="仿宋" w:eastAsia="仿宋" w:cs="宋体"/>
                <w:kern w:val="0"/>
                <w:szCs w:val="21"/>
                <w:highlight w:val="none"/>
              </w:rPr>
              <w:t>…</w:t>
            </w:r>
          </w:p>
        </w:tc>
        <w:tc>
          <w:tcPr>
            <w:tcW w:w="3828" w:type="dxa"/>
            <w:tcMar>
              <w:top w:w="150" w:type="dxa"/>
              <w:left w:w="240" w:type="dxa"/>
              <w:bottom w:w="150" w:type="dxa"/>
              <w:right w:w="240" w:type="dxa"/>
            </w:tcMar>
            <w:vAlign w:val="center"/>
          </w:tcPr>
          <w:p w14:paraId="1D46621F">
            <w:pPr>
              <w:widowControl/>
              <w:spacing w:line="520" w:lineRule="exact"/>
              <w:contextualSpacing/>
              <w:jc w:val="left"/>
              <w:rPr>
                <w:rFonts w:ascii="仿宋" w:hAnsi="仿宋" w:eastAsia="仿宋" w:cs="宋体"/>
                <w:kern w:val="0"/>
                <w:szCs w:val="21"/>
                <w:highlight w:val="none"/>
              </w:rPr>
            </w:pPr>
            <w:r>
              <w:rPr>
                <w:rFonts w:ascii="仿宋" w:hAnsi="仿宋" w:eastAsia="仿宋" w:cs="宋体"/>
                <w:kern w:val="0"/>
                <w:szCs w:val="21"/>
                <w:highlight w:val="none"/>
              </w:rPr>
              <w:t>（可根据实际参选人数添加行）</w:t>
            </w:r>
          </w:p>
        </w:tc>
        <w:tc>
          <w:tcPr>
            <w:tcW w:w="1842" w:type="dxa"/>
            <w:tcMar>
              <w:top w:w="150" w:type="dxa"/>
              <w:left w:w="240" w:type="dxa"/>
              <w:bottom w:w="150" w:type="dxa"/>
              <w:right w:w="240" w:type="dxa"/>
            </w:tcMar>
            <w:vAlign w:val="center"/>
          </w:tcPr>
          <w:p w14:paraId="5C77A3B6">
            <w:pPr>
              <w:widowControl/>
              <w:spacing w:line="520" w:lineRule="exact"/>
              <w:contextualSpacing/>
              <w:jc w:val="left"/>
              <w:rPr>
                <w:rFonts w:ascii="仿宋" w:hAnsi="仿宋" w:eastAsia="仿宋" w:cs="宋体"/>
                <w:kern w:val="0"/>
                <w:szCs w:val="21"/>
                <w:highlight w:val="none"/>
              </w:rPr>
            </w:pPr>
          </w:p>
        </w:tc>
        <w:tc>
          <w:tcPr>
            <w:tcW w:w="3402" w:type="dxa"/>
            <w:tcMar>
              <w:top w:w="150" w:type="dxa"/>
              <w:left w:w="240" w:type="dxa"/>
              <w:bottom w:w="150" w:type="dxa"/>
              <w:right w:w="0" w:type="dxa"/>
            </w:tcMar>
            <w:vAlign w:val="center"/>
          </w:tcPr>
          <w:p w14:paraId="2B09B766">
            <w:pPr>
              <w:widowControl/>
              <w:spacing w:line="520" w:lineRule="exact"/>
              <w:contextualSpacing/>
              <w:jc w:val="left"/>
              <w:rPr>
                <w:rFonts w:ascii="仿宋" w:hAnsi="仿宋" w:eastAsia="仿宋" w:cs="Times New Roman"/>
                <w:kern w:val="0"/>
                <w:szCs w:val="21"/>
                <w:highlight w:val="none"/>
              </w:rPr>
            </w:pPr>
          </w:p>
        </w:tc>
      </w:tr>
    </w:tbl>
    <w:p w14:paraId="340FC2D7">
      <w:pPr>
        <w:widowControl/>
        <w:shd w:val="clear" w:color="auto" w:fill="FFFFFF"/>
        <w:spacing w:line="520" w:lineRule="exact"/>
        <w:contextualSpacing/>
        <w:jc w:val="left"/>
        <w:rPr>
          <w:rFonts w:ascii="仿宋" w:hAnsi="仿宋" w:eastAsia="仿宋" w:cs="Segoe UI"/>
          <w:color w:val="0F1115"/>
          <w:kern w:val="0"/>
          <w:szCs w:val="21"/>
          <w:highlight w:val="none"/>
        </w:rPr>
      </w:pPr>
      <w:r>
        <w:rPr>
          <w:rFonts w:ascii="仿宋" w:hAnsi="仿宋" w:eastAsia="仿宋" w:cs="Segoe UI"/>
          <w:bCs/>
          <w:color w:val="0F1115"/>
          <w:kern w:val="0"/>
          <w:szCs w:val="21"/>
          <w:highlight w:val="none"/>
        </w:rPr>
        <w:t>评审委员会确认：</w:t>
      </w:r>
      <w:r>
        <w:rPr>
          <w:rFonts w:ascii="仿宋" w:hAnsi="仿宋" w:eastAsia="仿宋" w:cs="Segoe UI"/>
          <w:color w:val="0F1115"/>
          <w:kern w:val="0"/>
          <w:szCs w:val="21"/>
          <w:highlight w:val="none"/>
        </w:rPr>
        <w:br w:type="textWrapping"/>
      </w:r>
      <w:r>
        <w:rPr>
          <w:rFonts w:ascii="仿宋" w:hAnsi="仿宋" w:eastAsia="仿宋" w:cs="Segoe UI"/>
          <w:color w:val="0F1115"/>
          <w:kern w:val="0"/>
          <w:szCs w:val="21"/>
          <w:highlight w:val="none"/>
        </w:rPr>
        <w:t>我们确认，已根据比选文件规定的资格要求，对所有参选人进行了公平、公正的审查，并依据评审原则形成上述总体结论。</w:t>
      </w:r>
    </w:p>
    <w:p w14:paraId="53870C9D">
      <w:r>
        <w:rPr>
          <w:rFonts w:ascii="仿宋" w:hAnsi="仿宋" w:eastAsia="仿宋" w:cs="Segoe UI"/>
          <w:color w:val="0F1115"/>
          <w:kern w:val="0"/>
          <w:szCs w:val="21"/>
          <w:highlight w:val="none"/>
        </w:rPr>
        <w:t>评审员（签字）：__________ __________ __________</w:t>
      </w:r>
      <w:r>
        <w:rPr>
          <w:rFonts w:ascii="仿宋" w:hAnsi="仿宋" w:eastAsia="仿宋" w:cs="Segoe UI"/>
          <w:color w:val="0F1115"/>
          <w:kern w:val="0"/>
          <w:szCs w:val="21"/>
          <w:highlight w:val="none"/>
        </w:rPr>
        <w:br w:type="textWrapping"/>
      </w:r>
      <w:r>
        <w:rPr>
          <w:rFonts w:ascii="仿宋" w:hAnsi="仿宋" w:eastAsia="仿宋" w:cs="Segoe UI"/>
          <w:color w:val="0F1115"/>
          <w:kern w:val="0"/>
          <w:szCs w:val="21"/>
          <w:highlight w:val="none"/>
        </w:rPr>
        <w:t>日 期：__________年______月______日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13343B"/>
    <w:multiLevelType w:val="multilevel"/>
    <w:tmpl w:val="5F13343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B81F27"/>
    <w:rsid w:val="0CB81F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overflowPunct w:val="0"/>
      <w:autoSpaceDE w:val="0"/>
      <w:autoSpaceDN w:val="0"/>
      <w:adjustRightInd w:val="0"/>
      <w:textAlignment w:val="baseline"/>
    </w:pPr>
    <w:rPr>
      <w:rFonts w:ascii="Calibri" w:hAnsi="Calibri"/>
      <w:color w:val="000000"/>
      <w:kern w:val="2"/>
      <w:sz w:val="22"/>
      <w:szCs w:val="22"/>
      <w:lang w:eastAsia="zh-CN"/>
    </w:rPr>
  </w:style>
  <w:style w:type="paragraph" w:customStyle="1" w:styleId="3">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4">
    <w:name w:val="annotation text"/>
    <w:basedOn w:val="1"/>
    <w:semiHidden/>
    <w:unhideWhenUsed/>
    <w:qFormat/>
    <w:uiPriority w:val="99"/>
    <w:pPr>
      <w:jc w:val="left"/>
    </w:pPr>
  </w:style>
  <w:style w:type="paragraph" w:customStyle="1" w:styleId="7">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2026-09-15T02:38:00Z</dcterms:created>
  <dc:creator>Lyn</dc:creator>
  <cp:lastModifiedBy>Lyn</cp:lastModifiedBy>
  <dcterms:modified xsi:type="dcterms:W3CDTF">2026-09-15T02:41:39Z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6E81AE00795F48CC8A59C6AE37D9D653_11</vt:lpwstr>
  </property>
  <property fmtid="{D5CDD505-2E9C-101B-9397-08002B2CF9AE}" pid="4" name="KSOTemplateDocerSaveRecord">
    <vt:lpwstr>eyJoZGlkIjoiMzI1NTc2YjM3YjBhNGRlYTk3YmY1YzQ4ZGRhMmI5ZWUiLCJ1c2VySWQiOiI0MzA1OTk4ODEifQ==</vt:lpwstr>
  </property>
</Properties>
</file>