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A069B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  <w:lang w:val="en-US" w:eastAsia="zh-CN"/>
        </w:rPr>
        <w:t>六</w:t>
      </w:r>
      <w:bookmarkStart w:id="0" w:name="_GoBack"/>
      <w:bookmarkEnd w:id="0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：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587CA562">
      <w:pPr>
        <w:widowControl/>
        <w:shd w:val="clear" w:color="auto" w:fill="FFFFFF"/>
        <w:contextualSpacing/>
        <w:jc w:val="left"/>
        <w:rPr>
          <w:rFonts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  <w:t>北京口腔医院王府井院区安防系统维护保养服务项目</w:t>
      </w:r>
    </w:p>
    <w:p w14:paraId="0A7067FE">
      <w:pPr>
        <w:widowControl/>
        <w:shd w:val="clear" w:color="auto" w:fill="FFFFFF"/>
        <w:contextualSpacing/>
        <w:jc w:val="left"/>
        <w:rPr>
          <w:rFonts w:ascii="黑体" w:hAnsi="黑体" w:eastAsia="黑体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1"/>
        <w:gridCol w:w="1446"/>
        <w:gridCol w:w="4395"/>
        <w:gridCol w:w="1134"/>
        <w:gridCol w:w="1417"/>
      </w:tblGrid>
      <w:tr w14:paraId="72C5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blHeader/>
        </w:trPr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14502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评分部分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E94EE8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C7906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9EFD8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48452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分值属性</w:t>
            </w:r>
          </w:p>
        </w:tc>
      </w:tr>
      <w:tr w14:paraId="6B11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65721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价格部分</w:t>
            </w:r>
          </w:p>
          <w:p w14:paraId="123B1CCA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20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E5011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C9D9B2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满足比选文件要求且报价最低的为基准价，该报价得分为满分。其他供应商的报价得分统一按照下列公式计算：</w:t>
            </w:r>
          </w:p>
          <w:p w14:paraId="3CD582FC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报价得分＝（基准价/报价）×分值。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4CEE7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20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BAFA1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客观</w:t>
            </w:r>
          </w:p>
        </w:tc>
      </w:tr>
      <w:tr w14:paraId="4C4C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E996F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商务部分</w:t>
            </w:r>
          </w:p>
          <w:p w14:paraId="4026852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25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EBAEF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824244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对供应商在近三年内（2023年9月1日至递交截止日）的安防系统维保服务项目进行评审，须在参选文件中提供合同复印件并加盖投标单位公章，每提供1项合格的业绩得2分，最高得10分。</w:t>
            </w:r>
          </w:p>
          <w:p w14:paraId="36850E44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 xml:space="preserve">注： </w:t>
            </w:r>
          </w:p>
          <w:p w14:paraId="6325BA0B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1）以合同签订时间为准，未注明签订时间的合同评标委员会有权不予认可为有效业绩。</w:t>
            </w:r>
          </w:p>
          <w:p w14:paraId="1E8F5AF4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2）与同一采购人签订的不同服务时间的合同按1份合同计算。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2963C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A3A01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客观</w:t>
            </w:r>
          </w:p>
        </w:tc>
      </w:tr>
      <w:tr w14:paraId="3552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A52463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5663B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F1DFFF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根据拟派本项目的项目经理及团队成员的学历、证书、工作经验等进行综合评审：</w:t>
            </w:r>
          </w:p>
          <w:p w14:paraId="256F0719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人员配备能够满足招标文件要求，构成比例合理、专业齐备，人员经验丰富得8-10分；</w:t>
            </w:r>
          </w:p>
          <w:p w14:paraId="46BE1774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人员配备能够满足招标文件要求，构成比例较合理、专业较齐备，人员经验较丰富得5-7分；</w:t>
            </w:r>
          </w:p>
          <w:p w14:paraId="5A03F6B6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人员配备基本能够满足招标文件要求，构成比例合理性一般、专业齐备性一般，人员经验一般得2-4分；</w:t>
            </w:r>
          </w:p>
          <w:p w14:paraId="7DCDE5EC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人员配备基本不能够满足招标文件要求，构成比例合理性较差、专业不够齐备，人员经验欠丰富得1分；</w:t>
            </w:r>
          </w:p>
          <w:p w14:paraId="27E76E95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9F758E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D98C7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主观</w:t>
            </w:r>
          </w:p>
        </w:tc>
      </w:tr>
      <w:tr w14:paraId="7A83D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316A1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93CED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内容完整性和编制水平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0625F6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完全按比选要求包含：资格声明书、响应书、授权委托书、报价一览表、采购需求偏离表等全部章节，无缺项、无漏页、无关键资料缺失；有目录页码、排版格式清晰、文件装订规范得5分，否则不得分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427FBA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5647C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客观</w:t>
            </w:r>
          </w:p>
        </w:tc>
      </w:tr>
      <w:tr w14:paraId="0A52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3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C1AB3D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技术部分</w:t>
            </w:r>
          </w:p>
          <w:p w14:paraId="295AB31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 xml:space="preserve"> 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55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ADBB79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项目重点、难点的分析与解决方案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4F01F5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根据供应商对本项目的“项目重点、难点的分析与解决方案”进行评价：</w:t>
            </w:r>
          </w:p>
          <w:p w14:paraId="4A3DEF7D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对本项目理解深入、重点难点分析全面贴合现状，解决方案内容详细，目标明确，切实可行得11-15分；</w:t>
            </w:r>
          </w:p>
          <w:p w14:paraId="02CDFFDA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对本项目理解一般，重点难点分析较全面符合现状，解决方案内容较完整、可行得6-10分；</w:t>
            </w:r>
          </w:p>
          <w:p w14:paraId="11D60894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对本项目理解一般，重点难点分析与现状有偏差，解决方案一般得1-5分；</w:t>
            </w:r>
          </w:p>
          <w:p w14:paraId="6AEF1CEF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对本项目理解、重点难点分析、解决方案均较差或未提供不得分。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A7496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2AF70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主观</w:t>
            </w:r>
          </w:p>
        </w:tc>
      </w:tr>
      <w:tr w14:paraId="03AD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18185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AB969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11E526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根据供应商提供的针对本项目的服务方案情况进行综合评审：</w:t>
            </w:r>
          </w:p>
          <w:p w14:paraId="247F08B5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方案内容全面、完整、具体、针对性强、可操作性强，得11-15分；</w:t>
            </w:r>
          </w:p>
          <w:p w14:paraId="2C0DECEA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方案内容全面、完整、具体、针对性较强、可操作性较强，得6-10分；</w:t>
            </w:r>
          </w:p>
          <w:p w14:paraId="04CA4690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方案内容的全面性、完整性、可行性一般，针对性一般，可操作性一般，得1-5分；</w:t>
            </w:r>
          </w:p>
          <w:p w14:paraId="4D5C7428">
            <w:pPr>
              <w:widowControl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方案内容不全面、不完整、不具体、针对性不强、可操作性不强或未提供不得分。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EF4C9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9F5FCF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主观</w:t>
            </w:r>
          </w:p>
        </w:tc>
      </w:tr>
      <w:tr w14:paraId="7853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48C6A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80793">
            <w:pPr>
              <w:widowControl/>
              <w:jc w:val="center"/>
              <w:rPr>
                <w:bCs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运维记录</w:t>
            </w:r>
          </w:p>
          <w:p w14:paraId="1C23D829">
            <w:pPr>
              <w:widowControl/>
              <w:jc w:val="center"/>
              <w:rPr>
                <w:bCs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的文档管</w:t>
            </w:r>
          </w:p>
          <w:p w14:paraId="4955F92F">
            <w:pPr>
              <w:widowControl/>
              <w:jc w:val="center"/>
              <w:rPr>
                <w:bCs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理</w:t>
            </w:r>
          </w:p>
          <w:p w14:paraId="1F75EC1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D39188">
            <w:pPr>
              <w:widowControl/>
              <w:jc w:val="left"/>
              <w:rPr>
                <w:bCs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服务供应商提出有效的运维记录的文档管理方案，并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能够充分说明、描述并体现：①有完善的项目档案管 </w:t>
            </w:r>
          </w:p>
          <w:p w14:paraId="0602603D">
            <w:pPr>
              <w:widowControl/>
              <w:jc w:val="left"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理机制；②提供完整的项目运维检验检测单据及文档 </w:t>
            </w:r>
            <w:r>
              <w:rPr>
                <w:rFonts w:hint="eastAsia" w:eastAsia="仿宋"/>
                <w:bCs/>
              </w:rPr>
              <w:t>，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bidi="ar"/>
              </w:rPr>
              <w:t>每满足一项得 5 分，最高得 10 分；未明确体现或 无法判断的，该部分不得分。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86FF43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0CFA5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主观</w:t>
            </w:r>
          </w:p>
        </w:tc>
      </w:tr>
      <w:tr w14:paraId="575F2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9B41C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88FC9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突发情况的处理及应急预案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1AA009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根据供应商针对本项目提供的“突发情况的处理及应急预案”进行综合评审： </w:t>
            </w:r>
          </w:p>
          <w:p w14:paraId="23F2143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突发情况反应迅速、应急预案内容充实，合理性、科学性、针对性高得11-15分；</w:t>
            </w:r>
          </w:p>
          <w:p w14:paraId="325C9175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突发情况反应一般、应急预案内容较充实，合理性、科学性、针对性较高得6-10分；</w:t>
            </w:r>
          </w:p>
          <w:p w14:paraId="72EFAA1A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突发情况反应一般、应急预案内容一般，合理性、科学性、针对性一般得1-5分； </w:t>
            </w:r>
          </w:p>
          <w:p w14:paraId="114F6E56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突发情况反应滞后、应急预案内容不全面、不合同、不科学、针对性不强或未提供不得分。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1332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AA36DF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主观</w:t>
            </w:r>
          </w:p>
        </w:tc>
      </w:tr>
      <w:tr w14:paraId="1602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BC70C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总评分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20AE33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D4B59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1FEE03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9C2CFF">
            <w:pPr>
              <w:widowControl/>
              <w:contextualSpacing/>
              <w:jc w:val="left"/>
              <w:rPr>
                <w:rFonts w:ascii="仿宋" w:hAnsi="仿宋" w:eastAsia="仿宋" w:cs="Times New Roman"/>
                <w:bCs/>
                <w:kern w:val="0"/>
                <w:szCs w:val="21"/>
              </w:rPr>
            </w:pPr>
          </w:p>
        </w:tc>
      </w:tr>
    </w:tbl>
    <w:p w14:paraId="20601419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6EAA263C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6FC74E51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125312EF"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E79D0"/>
    <w:rsid w:val="5CA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2026-08-31T08:53:00Z</dcterms:created>
  <dc:creator>Lyn</dc:creator>
  <cp:lastModifiedBy>Lyn</cp:lastModifiedBy>
  <dcterms:modified xsi:type="dcterms:W3CDTF">2026-08-31T08:54:44Z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BBA69639830248469BB058155999CABF_11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