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E55BD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</w:pPr>
      <w:bookmarkStart w:id="0" w:name="OLE_LINK8"/>
      <w:bookmarkStart w:id="1" w:name="OLE_LINK9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附件五：</w:t>
      </w:r>
      <w:bookmarkEnd w:id="0"/>
      <w:bookmarkEnd w:id="1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</w:p>
    <w:p w14:paraId="095D465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contextualSpacing/>
        <w:jc w:val="left"/>
        <w:textAlignment w:val="auto"/>
        <w:rPr>
          <w:rFonts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hint="eastAsia" w:ascii="仿宋" w:hAnsi="仿宋" w:eastAsia="仿宋" w:cs="Segoe UI"/>
          <w:bCs/>
          <w:color w:val="0F1115"/>
          <w:sz w:val="32"/>
          <w:szCs w:val="32"/>
        </w:rPr>
        <w:t>首都医科大学附属北京口腔医院</w:t>
      </w:r>
      <w:r>
        <w:rPr>
          <w:rFonts w:hint="eastAsia" w:ascii="仿宋" w:hAnsi="仿宋" w:eastAsia="仿宋" w:cs="Segoe UI"/>
          <w:bCs/>
          <w:color w:val="0F1115"/>
          <w:sz w:val="32"/>
          <w:szCs w:val="32"/>
          <w:lang w:eastAsia="zh-CN"/>
        </w:rPr>
        <w:t>不良事件上报系统运维</w:t>
      </w:r>
      <w:r>
        <w:rPr>
          <w:rFonts w:hint="eastAsia" w:ascii="仿宋" w:hAnsi="仿宋" w:eastAsia="仿宋" w:cs="Segoe UI"/>
          <w:bCs/>
          <w:color w:val="0F1115"/>
          <w:sz w:val="32"/>
          <w:szCs w:val="32"/>
        </w:rPr>
        <w:t>服务</w:t>
      </w: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</w:t>
      </w:r>
    </w:p>
    <w:tbl>
      <w:tblPr>
        <w:tblStyle w:val="2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1"/>
        <w:gridCol w:w="1446"/>
        <w:gridCol w:w="4395"/>
        <w:gridCol w:w="1134"/>
        <w:gridCol w:w="1417"/>
      </w:tblGrid>
      <w:tr w14:paraId="52BB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203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评分部分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057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01D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500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E18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分值属性</w:t>
            </w:r>
          </w:p>
        </w:tc>
      </w:tr>
      <w:tr w14:paraId="1C35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46E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价格部分</w:t>
            </w:r>
          </w:p>
          <w:p w14:paraId="2FEA9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4D9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49F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满足比选文件要求且报价最低的为基准价，该报价得分为满分。其他供应商的报价得分统一按照下列公式计算：</w:t>
            </w:r>
          </w:p>
          <w:p w14:paraId="3F3F9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报价得分＝（基准价/报价）×分值。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F25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026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558A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7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16B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商务部分</w:t>
            </w:r>
          </w:p>
          <w:p w14:paraId="01CBE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25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864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同类项目业绩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E08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对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  <w:t>供应商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在近三年内（202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年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月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日至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递交截止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日）的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不良事件上报系统运维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服务项目进行评审，须在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  <w:t>参选文件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中提供合同复印件并加盖投标单位公章，每提供1项合格的业绩得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分，最高得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分。</w:t>
            </w:r>
          </w:p>
          <w:p w14:paraId="70F9F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 xml:space="preserve">注： </w:t>
            </w:r>
          </w:p>
          <w:p w14:paraId="35247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1）以合同签订时间为准，未注明签订时间的合同评标委员会有权不予认可为有效业绩。</w:t>
            </w:r>
          </w:p>
          <w:p w14:paraId="1A59F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2）与同一采购人签订的不同服务时间的合同按1份合同计算。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11D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ACB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3D42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8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464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23F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A4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根据拟派本项目的项目经理及团队成员的学历、证书、工作经验等进行综合评审：</w:t>
            </w:r>
          </w:p>
          <w:p w14:paraId="76B3D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人员配备能够满足招标文件要求，构成比例合理、专业齐备，人员经验丰富得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8-10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58A48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人员配备能够满足招标文件要求，构成比例较合理、专业较齐备，人员经验较丰富得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5-7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2F02D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人员配备基本能够满足招标文件要求，构成比例合理性一般、专业齐备性一般，人员经验一般得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2-4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11221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人员配备基本不能够满足招标文件要求，构成比例合理性较差、专业不够齐备，人员经验欠丰富得1分；</w:t>
            </w:r>
          </w:p>
          <w:p w14:paraId="57A26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1FA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C77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2316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6D9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949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内容完整性和编制水平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86A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default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完全按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比选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要求包含：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资格声明书、响应书、授权委托书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、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报价一览表、采购需求偏离表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等全部章节，无缺项、无漏页、无关键资料缺失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目录页码、排版格式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清晰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文件装订规范得5分，否则不得分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813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6C5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7D628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3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B3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技术部分</w:t>
            </w:r>
          </w:p>
          <w:p w14:paraId="7719B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 xml:space="preserve"> 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55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6EB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项目重点、难点的分析与解决方案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B13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根据供应商对本项目的“项目重点、难点的分析与解决方案”进行评价：</w:t>
            </w:r>
          </w:p>
          <w:p w14:paraId="177E7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对本项目理解深入、重点难点分析全面贴合现状，解决方案内容详细，目标明确，切实可行得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11-15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25ECB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对本项目理解一般，重点难点分析较全面符合现状，解决方案内容较完整、可行得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6-10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17661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对本项目理解一般，重点难点分析与现状有偏差，解决方案一般得1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-5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714DA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对本项目理解、重点难点分析、解决方案均较差或未提供不得分。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1FC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497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1BDA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6A1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96E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77D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根据供应商提供的针对本项目的服务方案情况进行综合评审：</w:t>
            </w:r>
          </w:p>
          <w:p w14:paraId="6F59B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方案内容全面、完整、具体、针对性强、可操作性强，得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11-15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6B2E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方案内容全面、完整、具体、针对性较强、可操作性较强，得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6-10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5FFA5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方案内容的全面性、完整行、具体行一般，针对性一般，可操作性一般，得1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-5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3DFB8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方案内容不全面、不完整、不具体、针对性不强、可操作性不强或未提供不得分。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24A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95A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39B5A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6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E71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8CE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运维记录</w:t>
            </w:r>
          </w:p>
          <w:p w14:paraId="0A5AF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的文档管</w:t>
            </w:r>
          </w:p>
          <w:p w14:paraId="22238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理</w:t>
            </w:r>
          </w:p>
          <w:p w14:paraId="50220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9CF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服务供应商提出有效的运维记录的文档管理方案，并能够充分说明、描述并体现：①有完善的项目档案管 </w:t>
            </w:r>
          </w:p>
          <w:p w14:paraId="3F0D6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理机制；②提供完整的项目运维检验检测单据及文档 ，每满足一项得 5 分，最高得 10 分；未明确体现或 无法判断的，该部分不得分。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CC7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1F5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主观</w:t>
            </w:r>
          </w:p>
        </w:tc>
      </w:tr>
      <w:tr w14:paraId="738B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3FC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065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突发情况的处理及应急预案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256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根据供应商针对本项目提供的“突发情况的处理及应急预案”进行综合评审： </w:t>
            </w:r>
          </w:p>
          <w:p w14:paraId="260AB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突发情况反应迅速、应急预案内容充实，合理性、科学性、针对性高得11-15分；</w:t>
            </w:r>
          </w:p>
          <w:p w14:paraId="6506E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突发情况反应一般、应急预案内容较充实，合理性、科学性、针对性较高得6-10分；</w:t>
            </w:r>
          </w:p>
          <w:p w14:paraId="7EBA7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突发情况反应一般、应急预案内容一般，合理性、科学性、针对性一般得1-5分； </w:t>
            </w:r>
          </w:p>
          <w:p w14:paraId="7B051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突发情况反应滞后、应急预案内容不全面、不合同、不科学、针对性不强或未提供不得分。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70A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F2F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77BC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B69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总评分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F30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3C2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509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D34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ascii="仿宋" w:hAnsi="仿宋" w:eastAsia="仿宋" w:cs="Times New Roman"/>
                <w:b w:val="0"/>
                <w:bCs/>
                <w:kern w:val="0"/>
                <w:szCs w:val="21"/>
              </w:rPr>
            </w:pPr>
          </w:p>
        </w:tc>
      </w:tr>
    </w:tbl>
    <w:p w14:paraId="64B40EC6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</w:p>
    <w:p w14:paraId="00828831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2ECEB45F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29B31DAC"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D4FD9"/>
    <w:rsid w:val="6A6D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2026-08-25T08:41:00Z</dcterms:created>
  <dc:creator>Lyn</dc:creator>
  <cp:lastModifiedBy>Lyn</cp:lastModifiedBy>
  <dcterms:modified xsi:type="dcterms:W3CDTF">2026-08-25T08:42:59Z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1BB1E54A6C8E4493A4A766A9BBC1649E_11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