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9E3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5D5FACB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>首都医科大学附属北京口腔医院主院区专线租赁服务项目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4"/>
        <w:gridCol w:w="4397"/>
        <w:gridCol w:w="1134"/>
        <w:gridCol w:w="1417"/>
      </w:tblGrid>
      <w:tr w14:paraId="5DDB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AE7FC9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评分部分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D69D87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评分因素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B3E52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23770F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7B46C2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分值属性</w:t>
            </w:r>
          </w:p>
        </w:tc>
      </w:tr>
      <w:tr w14:paraId="5406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5" w:hRule="atLeast"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586F02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价格部分</w:t>
            </w:r>
          </w:p>
          <w:p w14:paraId="5372744C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FCDE4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075A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>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418A81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A8B19F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41C6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63AB86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商务部分</w:t>
            </w:r>
          </w:p>
          <w:p w14:paraId="5BC77F7D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B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7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对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在近三年内（202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递交截止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日）的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专线租赁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服务项目进行评审，须在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参选文件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中提供合同复印件并加盖投标单位公章，每提供1项合格的业绩得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分。</w:t>
            </w:r>
          </w:p>
          <w:p w14:paraId="7274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 xml:space="preserve">注： </w:t>
            </w:r>
          </w:p>
          <w:p w14:paraId="10FA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1）以合同签订时间为准，未注明签订时间的合同评标委员会有权不予认可为有效业绩。</w:t>
            </w:r>
          </w:p>
          <w:p w14:paraId="0552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2）与同一采购人签订的不同服务时间的合同按1份合同计算。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F5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B3EA54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1BD0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64F2C9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38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1E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2CC0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人员配备能够满足招标文件要求，构成比例合理、专业齐备，人员经验丰富得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73EF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人员配备能够满足招标文件要求，构成比例较合理、专业较齐备，人员经验较丰富得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70319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人员配备基本能够满足招标文件要求，构成比例合理性一般、专业齐备性一般，人员经验一般得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69FD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0FC2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B4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7B323E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客观/主观</w:t>
            </w:r>
          </w:p>
        </w:tc>
      </w:tr>
      <w:tr w14:paraId="6BC9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643304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C2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内容完整性和编制水平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C0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B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2D3F62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2BEB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3" w:hRule="atLeast"/>
        </w:trPr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B08F0E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技术部分 </w:t>
            </w:r>
          </w:p>
          <w:p w14:paraId="56524899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55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8E608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整体专线建设方案</w:t>
            </w:r>
          </w:p>
          <w:p w14:paraId="55D68CDB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6AED5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根据供应商提供的整体专线建设方案情况进行综合评审：</w:t>
            </w:r>
          </w:p>
          <w:p w14:paraId="62E14F4B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包含互联网、医保、院内互联专线整体部署规划、点位覆盖、施工方案、工期计划、网络架构设计，方案贴合医院医疗业务场景、架构合理、施工规范、不影响诊疗工作，得10-15分；方案基本完整、满足基础需求，得6-9分；方案简陋、针对性弱、关键内容缺失，得1-5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B65FDF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A0A7B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1079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C5130E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E63959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网络质量与带宽保障方案</w:t>
            </w:r>
          </w:p>
          <w:p w14:paraId="26800DA2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68EB01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根据供应商提供的网络质量与带宽保障方案情况进行综合评审：</w:t>
            </w:r>
          </w:p>
          <w:p w14:paraId="35EEEC3A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具备硬管道独享带宽、低时延低丢包优化、流量管控、带宽扩容、双链路冗余备份方案，保障核心业务稳定运行，方案完善可行得10-15分；方案基本齐全得6-9分；无专项保障措施、方案缺失得1-5分。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F516FF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D1D1DB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7AC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A3CF1B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AD5D26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网络安全保障方案</w:t>
            </w:r>
          </w:p>
          <w:p w14:paraId="65C3D5A2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C04620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根据供应商提供的网络安全保障方案情况进行综合评审：</w:t>
            </w:r>
          </w:p>
          <w:p w14:paraId="3039BFE1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包含数据加密、安全防护、漏洞巡检、防攻击、等保适配、医保数据安全防护等完整措施，贴合医疗数据合规要求，得10-15分；基础安全措施齐全得6-9分；安全方案不完善、无专项防护得1-5分。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74D672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5DBB28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79F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131BDE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9495C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故障应急处置方案</w:t>
            </w:r>
          </w:p>
          <w:p w14:paraId="6EF26253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F3B91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根据供应商提供的故障应急处置方案情况进行综合评审：</w:t>
            </w:r>
          </w:p>
          <w:p w14:paraId="3A2CA08A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针对链路中断、设备故障、网络拥堵、医保断连、安全风险等场景具备完善应急预案、快速响应机制、抢修流程、业务兜底方案，可快速恢复网络，得7-10分；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预案基本齐全得4-6分；预案缺失、可操作性差得1-3分。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24A399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88223C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373B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E4DF2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总评分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E8C8AF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9EE226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8E6771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0C5DA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11A985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1C61B33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2A45EBF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17C4B0C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67769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A7837"/>
    <w:rsid w:val="3EE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2026-06-11T05:58:00Z</dcterms:created>
  <dc:creator>Lyn</dc:creator>
  <cp:lastModifiedBy>Lyn</cp:lastModifiedBy>
  <dcterms:modified xsi:type="dcterms:W3CDTF">2026-06-11T06:00:10Z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0C7DDDB2F707467DABA1875FE87B71D1_11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