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9AAB1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31557F23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20CB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DA4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57D9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715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2E4B9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9F6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675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8ED1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0AF29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D9B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BFC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8208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6E39A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99C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3B5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93C5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13016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7C0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6C3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038C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0FBC6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324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0E4AC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DC71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61D96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0EEE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F91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31FF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637B9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67E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F4B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7CAD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524AF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F48D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806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7B89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4B2AB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53F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EC05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FE31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7E77B72F">
      <w:pPr>
        <w:widowControl/>
        <w:shd w:val="clear"/>
        <w:spacing w:line="240" w:lineRule="auto"/>
        <w:contextualSpacing w:val="0"/>
        <w:jc w:val="left"/>
        <w:rPr>
          <w:rFonts w:ascii="仿宋" w:hAnsi="仿宋" w:eastAsia="仿宋" w:cs="Segoe UI"/>
          <w:bCs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br w:type="page"/>
      </w:r>
    </w:p>
    <w:p w14:paraId="4562DFC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4CD1498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15DE617A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21E0424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636F56C5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593B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652EF2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81D49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0EB0D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52E1E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0F0E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2A34A9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8A001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0CB4D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D7428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FD3E0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B77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96CBA6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FF87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63681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77D39DF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D607D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AF1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9F57A1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C1E86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FBC7C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70DC20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3304C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FD3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5719BF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A57AA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358F6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A8064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27D4F3B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Cs w:val="21"/>
        </w:rPr>
        <w:t>参选文件进行了审查，并依据评审原则形成上述总体结论。</w:t>
      </w:r>
    </w:p>
    <w:p w14:paraId="1C9258A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74314F1C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0431"/>
    <w:rsid w:val="5B1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autoRedefine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2026-06-11T05:58:00Z</dcterms:created>
  <dc:creator>Lyn</dc:creator>
  <cp:lastModifiedBy>Lyn</cp:lastModifiedBy>
  <dcterms:modified xsi:type="dcterms:W3CDTF">2026-06-11T06:00:02Z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F9C919E90D754FAF98A4B4D9E5F2DC9A_11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