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9213B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bCs/>
          <w:sz w:val="44"/>
          <w:szCs w:val="44"/>
        </w:rPr>
      </w:pPr>
      <w:r>
        <w:rPr>
          <w:rFonts w:ascii="仿宋" w:hAnsi="仿宋" w:eastAsia="仿宋" w:cs="Segoe UI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Segoe UI"/>
          <w:b/>
          <w:bCs/>
          <w:sz w:val="32"/>
          <w:szCs w:val="32"/>
        </w:rPr>
        <w:t>四</w:t>
      </w:r>
      <w:r>
        <w:rPr>
          <w:rFonts w:ascii="仿宋" w:hAnsi="仿宋" w:eastAsia="仿宋" w:cs="Segoe UI"/>
          <w:b/>
          <w:bCs/>
          <w:sz w:val="32"/>
          <w:szCs w:val="32"/>
        </w:rPr>
        <w:t>：符合性审查表</w:t>
      </w:r>
    </w:p>
    <w:p w14:paraId="0AB2B78B">
      <w:pPr>
        <w:widowControl/>
        <w:shd w:val="clear" w:color="auto" w:fill="FFFFFF"/>
        <w:spacing w:line="520" w:lineRule="exact"/>
        <w:contextualSpacing/>
        <w:jc w:val="left"/>
        <w:rPr>
          <w:rFonts w:ascii="Calibri" w:hAnsi="Calibri" w:eastAsia="仿宋" w:cs="Calibr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项目名称：</w:t>
      </w:r>
      <w:r>
        <w:rPr>
          <w:rFonts w:ascii="Calibri" w:hAnsi="Calibri" w:eastAsia="仿宋" w:cs="Calibri"/>
          <w:color w:val="0F1115"/>
          <w:kern w:val="0"/>
          <w:sz w:val="24"/>
          <w:szCs w:val="24"/>
        </w:rPr>
        <w:t> </w:t>
      </w:r>
      <w:r>
        <w:rPr>
          <w:rFonts w:hint="eastAsia" w:ascii="仿宋" w:hAnsi="仿宋" w:eastAsia="仿宋" w:cs="Segoe UI"/>
          <w:color w:val="0F1115"/>
          <w:kern w:val="0"/>
          <w:sz w:val="24"/>
          <w:szCs w:val="24"/>
          <w:u w:val="single"/>
        </w:rPr>
        <w:t xml:space="preserve"> </w:t>
      </w:r>
      <w:r>
        <w:rPr>
          <w:rFonts w:ascii="仿宋" w:hAnsi="仿宋" w:eastAsia="仿宋" w:cs="Segoe UI"/>
          <w:color w:val="0F1115"/>
          <w:kern w:val="0"/>
          <w:sz w:val="24"/>
          <w:szCs w:val="24"/>
          <w:u w:val="single"/>
        </w:rPr>
        <w:t xml:space="preserve">                                                 </w:t>
      </w:r>
      <w:r>
        <w:rPr>
          <w:rFonts w:ascii="仿宋" w:hAnsi="仿宋" w:eastAsia="仿宋" w:cs="Segoe UI"/>
          <w:color w:val="0F1115"/>
          <w:kern w:val="0"/>
          <w:sz w:val="24"/>
          <w:szCs w:val="24"/>
        </w:rPr>
        <w:t>服务项目</w:t>
      </w:r>
      <w:r>
        <w:rPr>
          <w:rFonts w:ascii="仿宋" w:hAnsi="仿宋" w:eastAsia="仿宋" w:cs="Segoe UI"/>
          <w:color w:val="0F1115"/>
          <w:kern w:val="0"/>
          <w:sz w:val="24"/>
          <w:szCs w:val="24"/>
        </w:rPr>
        <w:br w:type="textWrapping"/>
      </w: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评审原则：</w:t>
      </w:r>
      <w:r>
        <w:rPr>
          <w:rFonts w:ascii="Calibri" w:hAnsi="Calibri" w:eastAsia="仿宋" w:cs="Calibri"/>
          <w:color w:val="0F1115"/>
          <w:kern w:val="0"/>
          <w:sz w:val="24"/>
          <w:szCs w:val="24"/>
        </w:rPr>
        <w:t> </w:t>
      </w: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以下</w:t>
      </w:r>
      <w:r>
        <w:rPr>
          <w:rFonts w:hint="eastAsia" w:ascii="仿宋" w:hAnsi="仿宋" w:eastAsia="仿宋" w:cs="Segoe UI"/>
          <w:bCs/>
          <w:color w:val="0F1115"/>
          <w:kern w:val="0"/>
          <w:sz w:val="24"/>
          <w:szCs w:val="24"/>
        </w:rPr>
        <w:t>九</w:t>
      </w: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项审查中，任一项结论为“不符合”，或其响应存在对项目核心需求的实质性负偏离，则其符合性审查总体结论为“不符合”，不得进入综合评分阶段。</w:t>
      </w:r>
    </w:p>
    <w:tbl>
      <w:tblPr>
        <w:tblStyle w:val="4"/>
        <w:tblW w:w="92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813"/>
        <w:gridCol w:w="6725"/>
      </w:tblGrid>
      <w:tr w14:paraId="1BA45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02757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F3741">
            <w:pPr>
              <w:autoSpaceDE w:val="0"/>
              <w:spacing w:before="3" w:line="273" w:lineRule="auto"/>
              <w:ind w:left="426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审查因素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B6636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审查内容</w:t>
            </w:r>
          </w:p>
        </w:tc>
      </w:tr>
      <w:tr w14:paraId="5BB5C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0496F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571C7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响应书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67ACD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按比选文件要求提供，且承诺的采购有效期满足比选文件中载明的采购有效期的；</w:t>
            </w:r>
          </w:p>
        </w:tc>
      </w:tr>
      <w:tr w14:paraId="5FFDB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A2738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6F0FA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授权委托书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08244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按比选文件要求提供授权委托书；</w:t>
            </w:r>
          </w:p>
        </w:tc>
      </w:tr>
      <w:tr w14:paraId="57B6F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3DF95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C69A6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报价一览表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CF085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按比选文件要求提供；投标报价未超过比选文件中规定的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项目/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采购包预算金额或者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项目/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采购包最高限价（或者比选文件另有规定的）；</w:t>
            </w:r>
          </w:p>
        </w:tc>
      </w:tr>
      <w:tr w14:paraId="333D7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D996B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6FB36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报价合理性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E065E"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报价合理，或供应商的报价明显低于其他通过符合性审查供应商的报价，有可能影响产品质量或者不能诚信履约的，能够应评审小组要求在规定时间内证明其报价合理性的；</w:t>
            </w:r>
          </w:p>
        </w:tc>
      </w:tr>
      <w:tr w14:paraId="3B72D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DEC89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444B6">
            <w:pPr>
              <w:widowControl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签署、盖章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98D9A">
            <w:pPr>
              <w:widowControl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按照比选文件要求签署、盖章的；</w:t>
            </w:r>
          </w:p>
        </w:tc>
      </w:tr>
      <w:tr w14:paraId="50808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16A67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8FB03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实质性格式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14403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标记为“实质性格式”的文件均按比选文件要求提供的；</w:t>
            </w:r>
          </w:p>
        </w:tc>
      </w:tr>
      <w:tr w14:paraId="16923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ED000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B93F7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采购需求偏离表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8E78D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按比选文件要求提供；</w:t>
            </w:r>
          </w:p>
        </w:tc>
      </w:tr>
      <w:tr w14:paraId="38995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6DFEF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C9D17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串通投标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2C1A3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不存在《政府采购货物和服务招标投标管理办法》视为供应商串通投标的情形：（一）不同供应商的响应文件由同一单位或者个人编制；（二）不同供应商委托同一单位或者个人办理投标事宜；（三）不同供应商的响应文件载明的项目管理成员或者联系人员为同一人；（四）不同供应商的响应文件异常一致或者投标报价呈规律性差异；（五）不同供应商的响应文件相互混装；（六）不同供应商的保证金从同一单位或者个人的账户转出；</w:t>
            </w:r>
          </w:p>
        </w:tc>
      </w:tr>
      <w:tr w14:paraId="3BB73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3500B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B5783">
            <w:pPr>
              <w:widowControl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其他无效情形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08159">
            <w:pPr>
              <w:widowControl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供响应文件不存在不符合法律、法规和比选文件规定的其他无效情形。</w:t>
            </w:r>
          </w:p>
        </w:tc>
      </w:tr>
    </w:tbl>
    <w:p w14:paraId="6775C3DE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符合性审查总体结论记录表</w:t>
      </w:r>
    </w:p>
    <w:p w14:paraId="3C51DE2A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评审员填写指引：</w:t>
      </w:r>
    </w:p>
    <w:p w14:paraId="50C633D3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请根据上表对每家参选人进行逐项审查，并在对应“审查结论”栏勾选“符合”或“不符合”。</w:t>
      </w:r>
      <w:bookmarkStart w:id="0" w:name="_GoBack"/>
      <w:bookmarkEnd w:id="0"/>
    </w:p>
    <w:p w14:paraId="6BCDF547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完成逐项审查后，根据评审原则，在本表记录总体结论。</w:t>
      </w:r>
    </w:p>
    <w:p w14:paraId="21117C51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对结论为“不符合”的参选人，必须在“不符合原因说明”栏中，清晰、具体地注明所违反的审查项目序号及事实依据。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6"/>
        <w:gridCol w:w="2732"/>
        <w:gridCol w:w="1404"/>
        <w:gridCol w:w="3349"/>
      </w:tblGrid>
      <w:tr w14:paraId="523AA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8188D6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评审顺序号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44875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参选人名称</w:t>
            </w: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A5647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总体结论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D18A1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不符合原因说明 (仅当结论为“不符合”时填写)</w:t>
            </w:r>
          </w:p>
        </w:tc>
      </w:tr>
      <w:tr w14:paraId="42C0A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105DB5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9163B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FC64A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51A7728A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46EE9A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486F6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D9A987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38567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2325A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697B919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35253E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493A5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1FD688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FFB29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5A3E6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19F4604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0011F9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236DF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229BD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77A96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（可根据实际参选人数添加行）</w:t>
            </w: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C9CF3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C196BA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</w:tbl>
    <w:p w14:paraId="553E244B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评审委员会确认：</w:t>
      </w:r>
      <w:r>
        <w:rPr>
          <w:rFonts w:ascii="仿宋" w:hAnsi="仿宋" w:eastAsia="仿宋" w:cs="Segoe UI"/>
          <w:color w:val="0F1115"/>
          <w:kern w:val="0"/>
          <w:szCs w:val="21"/>
        </w:rPr>
        <w:br w:type="textWrapping"/>
      </w:r>
      <w:r>
        <w:rPr>
          <w:rFonts w:ascii="仿宋" w:hAnsi="仿宋" w:eastAsia="仿宋" w:cs="Segoe UI"/>
          <w:color w:val="0F1115"/>
          <w:kern w:val="0"/>
          <w:szCs w:val="21"/>
        </w:rPr>
        <w:t>我们确认，已根据比选文件规定的符合性审查要求，对所有参选文件进行了审查，并依据评审原则形成上述总体结论。</w:t>
      </w:r>
    </w:p>
    <w:p w14:paraId="387155B5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评审员（签字）：__________ __________ __________ __________</w:t>
      </w:r>
    </w:p>
    <w:p w14:paraId="43D91094">
      <w:r>
        <w:rPr>
          <w:rFonts w:ascii="仿宋" w:hAnsi="仿宋" w:eastAsia="仿宋" w:cs="Segoe UI"/>
          <w:color w:val="0F1115"/>
          <w:kern w:val="0"/>
          <w:szCs w:val="21"/>
        </w:rPr>
        <w:t>日 期：__________年______月______日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502BAE"/>
    <w:multiLevelType w:val="multilevel"/>
    <w:tmpl w:val="30502BA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8438C"/>
    <w:rsid w:val="1C18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1"/>
    <w:basedOn w:val="2"/>
    <w:qFormat/>
    <w:uiPriority w:val="0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2026-05-26T09:31:00Z</dcterms:created>
  <dc:creator>Lyn</dc:creator>
  <cp:lastModifiedBy>Lyn</cp:lastModifiedBy>
  <dcterms:modified xsi:type="dcterms:W3CDTF">2026-05-26T09:32:56Z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9E600E9DBE5F419580F9702A14DAFEF1_11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