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EFB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</w:p>
    <w:p w14:paraId="0E7D1C76">
      <w:pPr>
        <w:widowControl/>
        <w:shd w:val="clear" w:color="auto" w:fill="FFFFFF"/>
        <w:spacing w:line="520" w:lineRule="exact"/>
        <w:contextualSpacing/>
        <w:jc w:val="center"/>
        <w:rPr>
          <w:rFonts w:ascii="仿宋" w:hAnsi="仿宋" w:eastAsia="仿宋"/>
          <w:b/>
          <w:color w:val="0F1115"/>
          <w:sz w:val="44"/>
          <w:szCs w:val="44"/>
          <w:shd w:val="clear" w:color="auto" w:fill="FFFFFF"/>
        </w:rPr>
      </w:pPr>
      <w:r>
        <w:rPr>
          <w:rFonts w:ascii="仿宋" w:hAnsi="仿宋" w:eastAsia="仿宋"/>
          <w:b/>
          <w:color w:val="0F1115"/>
          <w:sz w:val="44"/>
          <w:szCs w:val="44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44"/>
          <w:szCs w:val="44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44"/>
          <w:szCs w:val="44"/>
          <w:shd w:val="clear" w:color="auto" w:fill="FFFFFF"/>
        </w:rPr>
        <w:t>00分）</w:t>
      </w:r>
      <w:bookmarkStart w:id="0" w:name="_GoBack"/>
      <w:bookmarkEnd w:id="0"/>
    </w:p>
    <w:p w14:paraId="70B9992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</w:rPr>
        <w:t>造价咨询服务项目</w:t>
      </w:r>
    </w:p>
    <w:tbl>
      <w:tblPr>
        <w:tblStyle w:val="2"/>
        <w:tblW w:w="473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84"/>
        <w:gridCol w:w="5076"/>
        <w:gridCol w:w="926"/>
      </w:tblGrid>
      <w:tr w14:paraId="009FC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1187A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0133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3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C531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评审细则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9D1B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分值</w:t>
            </w:r>
          </w:p>
        </w:tc>
      </w:tr>
      <w:tr w14:paraId="2932E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4F6C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AB84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响应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报价</w:t>
            </w:r>
          </w:p>
        </w:tc>
        <w:tc>
          <w:tcPr>
            <w:tcW w:w="3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BEA9">
            <w:pPr>
              <w:pStyle w:val="4"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满足</w:t>
            </w: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比选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文件要求且</w:t>
            </w: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报价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最低的</w:t>
            </w: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折扣费率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为评标基准价，其价格分为满分。其他</w:t>
            </w: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供应商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的价格分统一按照下列公式计算：</w:t>
            </w:r>
          </w:p>
          <w:p w14:paraId="0F1D1125">
            <w:pPr>
              <w:pStyle w:val="4"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响应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报价得分＝（评标基准价/</w:t>
            </w:r>
            <w:r>
              <w:rPr>
                <w:rFonts w:hint="eastAsia" w:ascii="仿宋" w:hAnsi="仿宋" w:eastAsia="仿宋" w:cs="Segoe UI"/>
                <w:color w:val="0F1115"/>
                <w:szCs w:val="24"/>
              </w:rPr>
              <w:t>响应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>报价）×分值。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77150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10</w:t>
            </w:r>
          </w:p>
        </w:tc>
      </w:tr>
      <w:tr w14:paraId="5149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CBA0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8C12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同类项目实施案例</w:t>
            </w:r>
          </w:p>
        </w:tc>
        <w:tc>
          <w:tcPr>
            <w:tcW w:w="3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6B4D">
            <w:pPr>
              <w:widowControl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自本比选公告发布之日前三年内（以合同签订时间为准）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供应商同类项目实施案例（需附合同关键页复印件，复印件内容需体现合同名称、签订双方名称、合同金额、签订时间、主要服务内容以及双方盖章页，案例时间以合同签订时间为准）；每提供1个有效业绩得3分，以此类推，满分为15分。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3DDE">
            <w:pPr>
              <w:pStyle w:val="5"/>
              <w:spacing w:after="0"/>
              <w:jc w:val="center"/>
              <w:rPr>
                <w:rFonts w:ascii="仿宋" w:hAnsi="仿宋" w:eastAsia="仿宋" w:cs="Segoe UI"/>
                <w:snapToGrid/>
                <w:color w:val="0F1115"/>
                <w:lang w:eastAsia="zh-CN"/>
              </w:rPr>
            </w:pPr>
            <w:r>
              <w:rPr>
                <w:rFonts w:hint="eastAsia" w:ascii="仿宋" w:hAnsi="仿宋" w:eastAsia="仿宋" w:cs="Segoe UI"/>
                <w:snapToGrid/>
                <w:color w:val="0F1115"/>
                <w:lang w:eastAsia="zh-CN"/>
              </w:rPr>
              <w:t>15</w:t>
            </w:r>
          </w:p>
        </w:tc>
      </w:tr>
      <w:tr w14:paraId="26B83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4568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5C48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拟派项目负责人</w:t>
            </w:r>
          </w:p>
        </w:tc>
        <w:tc>
          <w:tcPr>
            <w:tcW w:w="3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0429">
            <w:pPr>
              <w:widowControl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1、拟派项目负责人具有中级及以上职称，提供证书复印件并加盖公章得3分，未按要求提供的不得分。</w:t>
            </w:r>
          </w:p>
          <w:p w14:paraId="345466BF">
            <w:pPr>
              <w:widowControl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2、拟派项目负责人担任项目经理（或项目负责人）工作年限10年及以上，提供工作简历（格式自拟并加盖公章）得3分，未按要求提供的不得分。</w:t>
            </w:r>
          </w:p>
          <w:p w14:paraId="24F67CAA">
            <w:pPr>
              <w:widowControl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3、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拟派项目负责人自本比选公告发布之日前三年内（以合同签订时间为准），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具有项目投资额500万元（含）上的工程造价咨询业绩，每提供一份合格业绩证明材料得2分，满分为6分。（注：须附业绩合同关键页复印件并加盖供应商公章，复印件内容需体现合同名称、签订双方名称、签订时间、合同标的内容以及双方签字盖章页。业绩时间以合同签订时间为准。合同中须体现项目负责人或项目经理的信息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3FFB">
            <w:pPr>
              <w:pStyle w:val="5"/>
              <w:spacing w:after="0"/>
              <w:jc w:val="center"/>
              <w:rPr>
                <w:rFonts w:ascii="仿宋" w:hAnsi="仿宋" w:eastAsia="仿宋" w:cs="Segoe UI"/>
                <w:snapToGrid/>
                <w:color w:val="0F1115"/>
                <w:lang w:eastAsia="zh-CN"/>
              </w:rPr>
            </w:pPr>
            <w:r>
              <w:rPr>
                <w:rFonts w:hint="eastAsia" w:ascii="仿宋" w:hAnsi="仿宋" w:eastAsia="仿宋" w:cs="Segoe UI"/>
                <w:snapToGrid/>
                <w:color w:val="0F1115"/>
                <w:lang w:eastAsia="zh-CN"/>
              </w:rPr>
              <w:t>12</w:t>
            </w:r>
          </w:p>
        </w:tc>
      </w:tr>
      <w:tr w14:paraId="4D2E2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690326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AA6C05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拟派服务团队人员</w:t>
            </w:r>
          </w:p>
        </w:tc>
        <w:tc>
          <w:tcPr>
            <w:tcW w:w="3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EE3E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1、拟派服务团队人员数量在5人（不含）以上得5分，在3人（含）-5人（含）得3分，在2人（含）-3人（含）得1分，在2人（不含）以下不得分。</w:t>
            </w:r>
          </w:p>
          <w:p w14:paraId="4479872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2、拟派服务团队人员专业齐全、配置合理得8分，专业配置基本齐全、配置基本合理得5分，专业配置欠齐全、配置欠合理得2分，未提供此项内容不得分。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ED03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13</w:t>
            </w:r>
          </w:p>
        </w:tc>
      </w:tr>
      <w:tr w14:paraId="15719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C22A09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373E9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整体服务方案</w:t>
            </w:r>
          </w:p>
        </w:tc>
        <w:tc>
          <w:tcPr>
            <w:tcW w:w="3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86E9">
            <w:pPr>
              <w:widowControl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根据本项目采购需求制定整体服务方案。</w:t>
            </w:r>
          </w:p>
          <w:p w14:paraId="70CE8D9B">
            <w:pPr>
              <w:widowControl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整体服务方案详细、全面，工作程序安排科学、合理，实施方案明确、具体，可行性及针对性强，得20分；</w:t>
            </w:r>
          </w:p>
          <w:p w14:paraId="3F1B61E7">
            <w:pPr>
              <w:widowControl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整体服务方案较详细、较全面，工作程序安排较科学、较合理，实施方案较明确、较具体，具有一定的可行性及针对性，得10分；</w:t>
            </w:r>
          </w:p>
          <w:p w14:paraId="1887B8A8">
            <w:pPr>
              <w:widowControl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整体服务方案不够详细、欠全面，工作程序安排欠科学、欠合理，实施方案欠明确、不够具体，没有可行性及针对性，得5分；</w:t>
            </w:r>
          </w:p>
          <w:p w14:paraId="29C3C16D">
            <w:pPr>
              <w:widowControl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未提供此项方案不得分。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3582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20</w:t>
            </w:r>
          </w:p>
        </w:tc>
      </w:tr>
      <w:tr w14:paraId="189C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C4AE45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5E5BBF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质量保证体系及措施</w:t>
            </w:r>
          </w:p>
        </w:tc>
        <w:tc>
          <w:tcPr>
            <w:tcW w:w="3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5739">
            <w:pP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根据本项目采购需求制定质量保证体系及措施。</w:t>
            </w:r>
          </w:p>
          <w:p w14:paraId="7008FF52">
            <w:pPr>
              <w:spacing w:line="276" w:lineRule="auto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质量保证体系完整，质量控制思路清晰，措施有力，目标明确，流程完整，服务承诺完全满足本项目需求，得15分；</w:t>
            </w:r>
          </w:p>
          <w:p w14:paraId="2437CFEC">
            <w:pP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质量保证体系较完整，质量控制思路较清晰，措施较有力，目标较明确，流程较完整，服务承诺基本满足本项目需求，得10分；</w:t>
            </w:r>
          </w:p>
          <w:p w14:paraId="0C305034">
            <w:pP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质量保证体系欠完整，质量控制思路不够清晰，措施欠有力，目标不明确，流程欠完整，服务承诺无法满足本项目需求，得5分；</w:t>
            </w:r>
          </w:p>
          <w:p w14:paraId="34818899">
            <w:pP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未提供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此项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方案不得分。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27C7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15</w:t>
            </w:r>
          </w:p>
        </w:tc>
      </w:tr>
      <w:tr w14:paraId="1D96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53D2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9406">
            <w:pPr>
              <w:widowControl/>
              <w:jc w:val="center"/>
              <w:textAlignment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重难点服务内容理解与应对方案</w:t>
            </w:r>
          </w:p>
        </w:tc>
        <w:tc>
          <w:tcPr>
            <w:tcW w:w="3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BAA3B">
            <w:pP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根据本项目采购需求制定重难点服务内容理解与应对方案。</w:t>
            </w:r>
          </w:p>
          <w:p w14:paraId="69BE8388">
            <w:pPr>
              <w:spacing w:line="276" w:lineRule="auto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对项目重点和难点理解准确，分析合理，应对方案完善、可行，得15分；</w:t>
            </w:r>
          </w:p>
          <w:p w14:paraId="4CC8DA0A">
            <w:pPr>
              <w:spacing w:line="276" w:lineRule="auto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对项目重点和难点理解较准确，分析较合理，应对方案较完善、较可行，得10分；</w:t>
            </w:r>
          </w:p>
          <w:p w14:paraId="50617F1C">
            <w:pP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对项目重点和难点理解欠准确，分析欠合理，应对方案欠完善、欠可行，得5分；</w:t>
            </w:r>
          </w:p>
          <w:p w14:paraId="475627F8">
            <w:pP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未提供此项方案不得分。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23EB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15</w:t>
            </w:r>
          </w:p>
        </w:tc>
      </w:tr>
      <w:tr w14:paraId="5429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4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0B99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合计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D076">
            <w:pPr>
              <w:jc w:val="center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00</w:t>
            </w:r>
          </w:p>
        </w:tc>
      </w:tr>
    </w:tbl>
    <w:p w14:paraId="285F2E7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评审委员会确认：</w:t>
      </w:r>
    </w:p>
    <w:p w14:paraId="668630B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4506EF9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3623106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1C763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B6585"/>
    <w:rsid w:val="3E0B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spacing w:line="360" w:lineRule="auto"/>
      <w:jc w:val="left"/>
    </w:pPr>
    <w:rPr>
      <w:rFonts w:ascii="Times New Roman" w:hAnsi="Times New Roman" w:eastAsia="宋体" w:cs="宋体"/>
      <w:kern w:val="0"/>
      <w:sz w:val="24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2026-04-13T08:20:00Z</dcterms:created>
  <dc:creator>Lyn</dc:creator>
  <cp:lastModifiedBy>Lyn</cp:lastModifiedBy>
  <dcterms:modified xsi:type="dcterms:W3CDTF">2026-04-13T08:21:12Z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C1FEEBE3C031444EB8DAE6A00C8FAF40_11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