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24F49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sz w:val="32"/>
          <w:szCs w:val="32"/>
        </w:rPr>
        <w:t>：</w:t>
      </w:r>
    </w:p>
    <w:p w14:paraId="3F9E4D60">
      <w:pPr>
        <w:widowControl/>
        <w:shd w:val="clear" w:color="auto" w:fill="FFFFFF"/>
        <w:spacing w:line="520" w:lineRule="exact"/>
        <w:contextualSpacing/>
        <w:jc w:val="center"/>
        <w:rPr>
          <w:rFonts w:ascii="仿宋" w:hAnsi="仿宋" w:eastAsia="仿宋" w:cs="Segoe UI"/>
          <w:b/>
          <w:bCs/>
          <w:sz w:val="44"/>
          <w:szCs w:val="44"/>
        </w:rPr>
      </w:pPr>
      <w:r>
        <w:rPr>
          <w:rFonts w:ascii="仿宋" w:hAnsi="仿宋" w:eastAsia="仿宋" w:cs="Segoe UI"/>
          <w:b/>
          <w:bCs/>
          <w:sz w:val="44"/>
          <w:szCs w:val="44"/>
        </w:rPr>
        <w:t>符合性审查表</w:t>
      </w:r>
    </w:p>
    <w:p w14:paraId="370B3677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hint="eastAsia" w:ascii="仿宋" w:hAnsi="仿宋" w:eastAsia="仿宋" w:cs="Segoe UI"/>
          <w:color w:val="0F1115"/>
          <w:kern w:val="0"/>
          <w:sz w:val="24"/>
          <w:szCs w:val="24"/>
        </w:rPr>
        <w:t>造价咨询服务项目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任一参选人在下述1-5项审查中，有任</w:t>
      </w:r>
      <w:bookmarkStart w:id="0" w:name="_GoBack"/>
      <w:bookmarkEnd w:id="0"/>
      <w:r>
        <w:rPr>
          <w:rFonts w:ascii="仿宋" w:hAnsi="仿宋" w:eastAsia="仿宋" w:cs="Segoe UI"/>
          <w:color w:val="0F1115"/>
          <w:kern w:val="0"/>
          <w:sz w:val="24"/>
          <w:szCs w:val="24"/>
        </w:rPr>
        <w:t>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560"/>
        <w:gridCol w:w="3543"/>
        <w:gridCol w:w="1843"/>
        <w:gridCol w:w="2268"/>
      </w:tblGrid>
      <w:tr w14:paraId="3272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353DDC">
            <w:pPr>
              <w:widowControl/>
              <w:spacing w:line="520" w:lineRule="exact"/>
              <w:contextualSpacing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92F77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审查项目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2C623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审查标准与审查要点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C033C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审查结论（符合/不符合）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8FB07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备注</w:t>
            </w:r>
          </w:p>
        </w:tc>
      </w:tr>
      <w:tr w14:paraId="78CB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8BCFA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A9EE7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报价要求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2F33DC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审查标准：是否完全按照比选文件“第八条 计价、支付及报价要求”的规定进行报价。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1.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报价形式：是否在《报价一览表》中填报了一个明确的、统一的“折扣费率”（例如：100%、95%等），适用于“收费基价表”中所有计费额区间。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2.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费率有效性：填报的“折扣费率”是否为有效的百分比数字，且费率 &gt; 0%。（注：费率可为100%，表示无折扣）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3.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500万元以上计价承诺：是否明确知晓并接受，对于计费额在500万元以上的咨询任务，其收费基价已固定为“《北京市建设工程造价行业咨询服务费用计价参考》（京标价协【2022】71号）相应计费标准的80%”。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4.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500万元以下计价承诺：是否明确知晓并接受“收费基价表”中计费额＜500万元各档位所对应的“收费基价”作为该档位的最高限价。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5.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报价完整性：是否在《报价一览表》“备注”栏中明确填报了“增值税税率”。</w:t>
            </w:r>
          </w:p>
          <w:p w14:paraId="51E561D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E6D2D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3441C1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“未填报折扣费率”“费率大于100%”等。</w:t>
            </w:r>
          </w:p>
        </w:tc>
      </w:tr>
      <w:tr w14:paraId="1853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2E068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BDF53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文件格式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74F5F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参选文件的编制、装订及签署盖章是否符合比选文件要求。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1. 是否编制目录及页码。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2. 是否牢固装订成册（如胶装）。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3. 关键页（如资格证明、报价函、服务方案、业绩证明等）及正文每页是否均由法定代表人或授权代表签字并加盖单位公章。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4. 整本文件侧边是否加盖骑缝章。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0D5E1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DFBC9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轻微瑕疵（如非关键页漏签章）可要求澄清，若影响文件法律效力或严重不符合格式要求，可判定为不符合。</w:t>
            </w:r>
          </w:p>
        </w:tc>
      </w:tr>
      <w:tr w14:paraId="71B5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02DDA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FD7FC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报价表填写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1C76D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是否按规定的报价表格式填写，内容完整、清晰、无矛盾。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1. 是否使用了比选文件提供的报价表格式或其认可的等效格式。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2. 服务名称、单价、数量、总价、汇总金额等栏目是否填写完整、清晰。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3. 分项报价汇总是否与总价一致。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073B9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85FFE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填写模糊、矛盾或未使用规定格式，导致无法明确报价内容的，可视为不符合。</w:t>
            </w:r>
          </w:p>
        </w:tc>
      </w:tr>
      <w:tr w14:paraId="5917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B9E34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50982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关键响应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EA9C3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服务方案是否实质性响应项目需求，无负偏离。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1.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服务范围：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服务方案是否涵盖比选文件要求的全部服务内容（清单及控制价编审、结算审核、过程控制等）。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2.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响应时效：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是否承诺满足“接到任务后24小时内确认并安排项目负责人”的要求。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3.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成果质量：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是否承诺成果文件符合国家及北京市规范，并加盖注册造价工程师执业章及单位公章。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4.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实质性负偏离：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是否存在对项目核心需求（如医疗专项经验承诺、保密要求等）的删减、否定或无法满足的响应。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76ACD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D2627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此为主观判断项。对非核心内容的微小偏离或优化建议，不视为负偏离。</w:t>
            </w:r>
          </w:p>
        </w:tc>
      </w:tr>
      <w:tr w14:paraId="3996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C3BBC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08906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有效期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9771B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参选文件中所涉及的各类承诺、声明、证书、证明等文件是否均在规定的有效期内。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1. 授权委托书（如适用）是否在授权有效期内。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2. 提供的专业人员证书、资质证书等（如有）是否在有效期内。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3. 所有承诺函、声明函是否载明有效期或为长期有效。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F348B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393AE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主要审查文件中明确载明有效期的材料。营业执照等通常视为长期有效，除非已过登记机关标注的营业期限。</w:t>
            </w:r>
          </w:p>
        </w:tc>
      </w:tr>
    </w:tbl>
    <w:p w14:paraId="50DCF44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4793881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01D93E84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0640051B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6110844C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2729"/>
        <w:gridCol w:w="1404"/>
        <w:gridCol w:w="3348"/>
      </w:tblGrid>
      <w:tr w14:paraId="5F2F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B03DE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42A8F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590FD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C11AD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6222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00E3B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2C453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67F3C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1AFFAD8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B0C92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9DB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367EE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AEEDA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E0376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06BA171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1417A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8ED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C936A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414B1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EA058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4FE2B58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5BD45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728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C10A0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A9E99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73DB5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B17D8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1B5665C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5C8C60F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1071728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p w14:paraId="26A92A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A4CBE"/>
    <w:rsid w:val="785A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2026-04-13T08:19:00Z</dcterms:created>
  <dc:creator>Lyn</dc:creator>
  <cp:lastModifiedBy>Lyn</cp:lastModifiedBy>
  <dcterms:modified xsi:type="dcterms:W3CDTF">2026-04-13T08:21:03Z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83B1A5E660034CCE86164645EEB91FFF_11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