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5FF6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073375A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bCs/>
          <w:color w:val="0F1115"/>
          <w:sz w:val="24"/>
          <w:szCs w:val="24"/>
          <w:shd w:val="clear" w:color="auto" w:fill="FFFFFF"/>
        </w:rPr>
        <w:t>管道清洗化粪池清掏服务项目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3F1D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351E5F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DAFDC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4677E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72FD8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754D2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6E43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BF5DA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78378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F796C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是否按“总价包干”方式进行整体报价，且只报一个不超过最高限价的总价。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报价函或应答一览表中的报价是否为唯一、确定的总价。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该总价是否明确为“总价包干”或“包干价”。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该总价是否未超过人民币190,000元的最高限价。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5F39F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406A8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若报价为分项报价汇总，但明确总价包干且未超限价，可视为符合。报价超过最高限价为不符合。</w:t>
            </w:r>
          </w:p>
        </w:tc>
      </w:tr>
      <w:tr w14:paraId="75EF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99644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A87AB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789B8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是否牢固装订成册（如胶装）。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关键页（如资格证明、报价函、服务方案、业绩证明等）及正文每页是否均由法定代表人或授权代表签字并加盖单位公章。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整本文件侧边是否加盖骑缝章。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F3EDE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FA788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5069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55D49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C94DD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报价表填写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BC18A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是否按规定的报价表格式填写，内容完整、清晰、无矛盾。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是否使用了比选文件提供的报价表格式或其认可的等效格式。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服务名称、单价、数量、总价、汇总金额等栏目是否填写完整、清晰。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分项报价汇总是否与总价一致。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0ABFE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7180D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2F74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7A90C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11A2E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A4162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对服务期限、服务范围等核心条款是否作出明确且无负偏离的响应。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是否承诺服务期限为“自合同签订之日起一年”。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应答一览表中“服务需求响应情况”是否明确填写“全部无偏离”或类似承诺。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F25E3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141B9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若对服务期限提出不同要求，或未对服务需求作出响应的，为不符合。</w:t>
            </w:r>
          </w:p>
        </w:tc>
      </w:tr>
      <w:tr w14:paraId="059A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8C1E3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701F6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70F90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提供的专业人员证书、资质证书等（如有）是否在有效期内。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0E2FC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4B9B8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23213E8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4D67B6F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1EE26B2F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6F36BAEB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21ADC933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2729"/>
        <w:gridCol w:w="1404"/>
        <w:gridCol w:w="3348"/>
      </w:tblGrid>
      <w:tr w14:paraId="237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0C7ED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6C069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45463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A4704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1F3E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56ECA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C1332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D46EB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</w:t>
            </w:r>
            <w:bookmarkStart w:id="0" w:name="_GoBack"/>
            <w:bookmarkEnd w:id="0"/>
            <w:r>
              <w:rPr>
                <w:rFonts w:ascii="仿宋" w:hAnsi="仿宋" w:eastAsia="仿宋" w:cs="宋体"/>
                <w:kern w:val="0"/>
                <w:szCs w:val="21"/>
              </w:rPr>
              <w:t xml:space="preserve">合 </w:t>
            </w:r>
          </w:p>
          <w:p w14:paraId="5FA8D6A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405D0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42F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41DAF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7A77A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4CD21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51241AA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1EC31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A0B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E09C3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D5C40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CEC09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61BE948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53EF2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6EC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4B8F5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C6DF9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7C555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E18D0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21D7E2C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7224172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6D982C3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p w14:paraId="60F9AF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A62DE"/>
    <w:rsid w:val="1E3A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2026-03-17T06:11:00Z</dcterms:created>
  <dc:creator>Lyn</dc:creator>
  <cp:lastModifiedBy>Lyn</cp:lastModifiedBy>
  <dcterms:modified xsi:type="dcterms:W3CDTF">2026-03-17T06:13:25Z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E74EFC80428D461EAEDEFAE091B18BF9_11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