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0D0F8">
      <w:pPr>
        <w:widowControl/>
        <w:shd w:val="clear" w:color="auto" w:fill="FFFFFF"/>
        <w:spacing w:line="520" w:lineRule="exact"/>
        <w:contextualSpacing/>
        <w:jc w:val="left"/>
        <w:rPr>
          <w:rFonts w:ascii="仿宋" w:hAnsi="仿宋" w:eastAsia="仿宋"/>
          <w:b/>
          <w:color w:val="0F1115"/>
          <w:sz w:val="32"/>
          <w:szCs w:val="32"/>
          <w:shd w:val="clear" w:color="auto" w:fill="FFFFFF"/>
        </w:rPr>
      </w:pPr>
      <w:bookmarkStart w:id="0" w:name="OLE_LINK8"/>
      <w:bookmarkStart w:id="1" w:name="OLE_LINK9"/>
      <w:r>
        <w:rPr>
          <w:rFonts w:hint="eastAsia" w:ascii="仿宋" w:hAnsi="仿宋" w:eastAsia="仿宋"/>
          <w:b/>
          <w:color w:val="0F1115"/>
          <w:sz w:val="32"/>
          <w:szCs w:val="32"/>
          <w:shd w:val="clear" w:color="auto" w:fill="FFFFFF"/>
        </w:rPr>
        <w:t>附件六：</w:t>
      </w:r>
      <w:bookmarkEnd w:id="0"/>
      <w:bookmarkEnd w:id="1"/>
      <w:r>
        <w:rPr>
          <w:rFonts w:ascii="仿宋" w:hAnsi="仿宋" w:eastAsia="仿宋"/>
          <w:b/>
          <w:color w:val="0F1115"/>
          <w:sz w:val="32"/>
          <w:szCs w:val="32"/>
          <w:shd w:val="clear" w:color="auto" w:fill="FFFFFF"/>
        </w:rPr>
        <w:t>综合评分表（总分</w:t>
      </w:r>
      <w:r>
        <w:rPr>
          <w:rFonts w:hint="eastAsia" w:ascii="仿宋" w:hAnsi="仿宋" w:eastAsia="仿宋"/>
          <w:b/>
          <w:color w:val="0F1115"/>
          <w:sz w:val="32"/>
          <w:szCs w:val="32"/>
          <w:shd w:val="clear" w:color="auto" w:fill="FFFFFF"/>
        </w:rPr>
        <w:t>1</w:t>
      </w:r>
      <w:r>
        <w:rPr>
          <w:rFonts w:ascii="仿宋" w:hAnsi="仿宋" w:eastAsia="仿宋"/>
          <w:b/>
          <w:color w:val="0F1115"/>
          <w:sz w:val="32"/>
          <w:szCs w:val="32"/>
          <w:shd w:val="clear" w:color="auto" w:fill="FFFFFF"/>
        </w:rPr>
        <w:t>00分）</w:t>
      </w:r>
    </w:p>
    <w:p w14:paraId="03A8660B">
      <w:pPr>
        <w:widowControl/>
        <w:shd w:val="clear" w:color="auto" w:fill="FFFFFF"/>
        <w:spacing w:line="520" w:lineRule="exact"/>
        <w:contextualSpacing/>
        <w:jc w:val="left"/>
        <w:rPr>
          <w:rFonts w:ascii="仿宋" w:hAnsi="仿宋" w:eastAsia="仿宋"/>
          <w:color w:val="0F1115"/>
          <w:sz w:val="32"/>
          <w:szCs w:val="32"/>
          <w:shd w:val="clear" w:color="auto" w:fill="FFFFFF"/>
        </w:rPr>
      </w:pPr>
      <w:r>
        <w:rPr>
          <w:rFonts w:ascii="仿宋" w:hAnsi="仿宋" w:eastAsia="仿宋"/>
          <w:color w:val="0F1115"/>
          <w:sz w:val="32"/>
          <w:szCs w:val="32"/>
          <w:shd w:val="clear" w:color="auto" w:fill="FFFFFF"/>
        </w:rPr>
        <w:t>项目名称：</w:t>
      </w:r>
      <w:r>
        <w:rPr>
          <w:rFonts w:ascii="Calibri" w:hAnsi="Calibri" w:eastAsia="仿宋" w:cs="Calibri"/>
          <w:color w:val="0F1115"/>
          <w:sz w:val="32"/>
          <w:szCs w:val="32"/>
          <w:shd w:val="clear" w:color="auto" w:fill="FFFFFF"/>
        </w:rPr>
        <w:t> </w:t>
      </w:r>
      <w:r>
        <w:rPr>
          <w:rFonts w:hint="eastAsia" w:ascii="仿宋" w:hAnsi="仿宋" w:eastAsia="仿宋"/>
          <w:color w:val="0F1115"/>
          <w:sz w:val="32"/>
          <w:szCs w:val="32"/>
          <w:shd w:val="clear" w:color="auto" w:fill="FFFFFF"/>
        </w:rPr>
        <w:t>北京口腔医院库房租赁项目</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1139"/>
        <w:gridCol w:w="993"/>
        <w:gridCol w:w="4536"/>
        <w:gridCol w:w="850"/>
        <w:gridCol w:w="1007"/>
      </w:tblGrid>
      <w:tr w14:paraId="4E4C5E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155C807A">
            <w:pPr>
              <w:widowControl/>
              <w:jc w:val="left"/>
              <w:rPr>
                <w:rFonts w:ascii="仿宋" w:hAnsi="仿宋" w:eastAsia="仿宋" w:cs="Segoe UI"/>
                <w:color w:val="0F1115"/>
                <w:kern w:val="0"/>
                <w:szCs w:val="21"/>
              </w:rPr>
            </w:pPr>
            <w:r>
              <w:rPr>
                <w:rFonts w:ascii="仿宋" w:hAnsi="仿宋" w:eastAsia="仿宋" w:cs="Segoe UI"/>
                <w:color w:val="0F1115"/>
                <w:kern w:val="0"/>
                <w:szCs w:val="21"/>
              </w:rPr>
              <w:t>评分部分</w:t>
            </w:r>
          </w:p>
        </w:tc>
        <w:tc>
          <w:tcPr>
            <w:tcW w:w="993" w:type="dxa"/>
            <w:shd w:val="clear" w:color="auto" w:fill="FFFFFF"/>
            <w:tcMar>
              <w:top w:w="150" w:type="dxa"/>
              <w:left w:w="240" w:type="dxa"/>
              <w:bottom w:w="150" w:type="dxa"/>
              <w:right w:w="240" w:type="dxa"/>
            </w:tcMar>
            <w:vAlign w:val="center"/>
          </w:tcPr>
          <w:p w14:paraId="766FF3DF">
            <w:pPr>
              <w:widowControl/>
              <w:jc w:val="left"/>
              <w:rPr>
                <w:rFonts w:ascii="仿宋" w:hAnsi="仿宋" w:eastAsia="仿宋" w:cs="Segoe UI"/>
                <w:color w:val="0F1115"/>
                <w:kern w:val="0"/>
                <w:szCs w:val="21"/>
              </w:rPr>
            </w:pPr>
            <w:r>
              <w:rPr>
                <w:rFonts w:ascii="仿宋" w:hAnsi="仿宋" w:eastAsia="仿宋" w:cs="Segoe UI"/>
                <w:color w:val="0F1115"/>
                <w:kern w:val="0"/>
                <w:szCs w:val="21"/>
              </w:rPr>
              <w:t>评分因素</w:t>
            </w:r>
          </w:p>
        </w:tc>
        <w:tc>
          <w:tcPr>
            <w:tcW w:w="4536" w:type="dxa"/>
            <w:shd w:val="clear" w:color="auto" w:fill="FFFFFF"/>
            <w:tcMar>
              <w:top w:w="150" w:type="dxa"/>
              <w:left w:w="240" w:type="dxa"/>
              <w:bottom w:w="150" w:type="dxa"/>
              <w:right w:w="240" w:type="dxa"/>
            </w:tcMar>
            <w:vAlign w:val="center"/>
          </w:tcPr>
          <w:p w14:paraId="091CC53D">
            <w:pPr>
              <w:widowControl/>
              <w:jc w:val="left"/>
              <w:rPr>
                <w:rFonts w:ascii="仿宋" w:hAnsi="仿宋" w:eastAsia="仿宋" w:cs="Segoe UI"/>
                <w:color w:val="0F1115"/>
                <w:kern w:val="0"/>
                <w:szCs w:val="21"/>
              </w:rPr>
            </w:pPr>
            <w:r>
              <w:rPr>
                <w:rFonts w:ascii="仿宋" w:hAnsi="仿宋" w:eastAsia="仿宋" w:cs="Segoe UI"/>
                <w:color w:val="0F1115"/>
                <w:kern w:val="0"/>
                <w:szCs w:val="21"/>
              </w:rPr>
              <w:t>评分标准</w:t>
            </w:r>
          </w:p>
        </w:tc>
        <w:tc>
          <w:tcPr>
            <w:tcW w:w="850" w:type="dxa"/>
            <w:shd w:val="clear" w:color="auto" w:fill="FFFFFF"/>
            <w:tcMar>
              <w:top w:w="150" w:type="dxa"/>
              <w:left w:w="240" w:type="dxa"/>
              <w:bottom w:w="150" w:type="dxa"/>
              <w:right w:w="240" w:type="dxa"/>
            </w:tcMar>
            <w:vAlign w:val="center"/>
          </w:tcPr>
          <w:p w14:paraId="7FF73888">
            <w:pPr>
              <w:widowControl/>
              <w:jc w:val="left"/>
              <w:rPr>
                <w:rFonts w:ascii="仿宋" w:hAnsi="仿宋" w:eastAsia="仿宋" w:cs="Segoe UI"/>
                <w:color w:val="0F1115"/>
                <w:kern w:val="0"/>
                <w:szCs w:val="21"/>
              </w:rPr>
            </w:pPr>
            <w:r>
              <w:rPr>
                <w:rFonts w:ascii="仿宋" w:hAnsi="仿宋" w:eastAsia="仿宋" w:cs="Segoe UI"/>
                <w:color w:val="0F1115"/>
                <w:kern w:val="0"/>
                <w:szCs w:val="21"/>
              </w:rPr>
              <w:t>分值</w:t>
            </w:r>
          </w:p>
        </w:tc>
        <w:tc>
          <w:tcPr>
            <w:tcW w:w="1007" w:type="dxa"/>
            <w:shd w:val="clear" w:color="auto" w:fill="FFFFFF"/>
            <w:tcMar>
              <w:top w:w="150" w:type="dxa"/>
              <w:left w:w="240" w:type="dxa"/>
              <w:bottom w:w="150" w:type="dxa"/>
              <w:right w:w="240" w:type="dxa"/>
            </w:tcMar>
            <w:vAlign w:val="center"/>
          </w:tcPr>
          <w:p w14:paraId="458C751B">
            <w:pPr>
              <w:widowControl/>
              <w:jc w:val="left"/>
              <w:rPr>
                <w:rFonts w:ascii="仿宋" w:hAnsi="仿宋" w:eastAsia="仿宋" w:cs="Segoe UI"/>
                <w:color w:val="0F1115"/>
                <w:kern w:val="0"/>
                <w:szCs w:val="21"/>
              </w:rPr>
            </w:pPr>
            <w:r>
              <w:rPr>
                <w:rFonts w:ascii="仿宋" w:hAnsi="仿宋" w:eastAsia="仿宋" w:cs="Segoe UI"/>
                <w:color w:val="0F1115"/>
                <w:kern w:val="0"/>
                <w:szCs w:val="21"/>
              </w:rPr>
              <w:t>分值属性</w:t>
            </w:r>
          </w:p>
        </w:tc>
      </w:tr>
      <w:tr w14:paraId="5F2BE2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72B2F4F9">
            <w:pPr>
              <w:widowControl/>
              <w:jc w:val="left"/>
              <w:rPr>
                <w:rFonts w:ascii="仿宋" w:hAnsi="仿宋" w:eastAsia="仿宋" w:cs="Segoe UI"/>
                <w:color w:val="0F1115"/>
                <w:kern w:val="0"/>
                <w:szCs w:val="21"/>
              </w:rPr>
            </w:pPr>
            <w:r>
              <w:rPr>
                <w:rFonts w:ascii="仿宋" w:hAnsi="仿宋" w:eastAsia="仿宋" w:cs="Segoe UI"/>
                <w:color w:val="0F1115"/>
                <w:kern w:val="0"/>
                <w:szCs w:val="21"/>
              </w:rPr>
              <w:t>价格部分</w:t>
            </w:r>
            <w:r>
              <w:rPr>
                <w:rFonts w:ascii="仿宋" w:hAnsi="仿宋" w:eastAsia="仿宋" w:cs="宋体"/>
                <w:bCs/>
                <w:kern w:val="0"/>
                <w:szCs w:val="21"/>
              </w:rPr>
              <w:t>（</w:t>
            </w:r>
            <w:r>
              <w:rPr>
                <w:rFonts w:hint="eastAsia" w:ascii="仿宋" w:hAnsi="仿宋" w:eastAsia="仿宋" w:cs="宋体"/>
                <w:bCs/>
                <w:kern w:val="0"/>
                <w:szCs w:val="21"/>
              </w:rPr>
              <w:t>10</w:t>
            </w:r>
            <w:r>
              <w:rPr>
                <w:rFonts w:ascii="仿宋" w:hAnsi="仿宋" w:eastAsia="仿宋" w:cs="宋体"/>
                <w:bCs/>
                <w:kern w:val="0"/>
                <w:szCs w:val="21"/>
              </w:rPr>
              <w:t>分）</w:t>
            </w:r>
          </w:p>
        </w:tc>
        <w:tc>
          <w:tcPr>
            <w:tcW w:w="993" w:type="dxa"/>
            <w:shd w:val="clear" w:color="auto" w:fill="FFFFFF"/>
            <w:tcMar>
              <w:top w:w="150" w:type="dxa"/>
              <w:left w:w="240" w:type="dxa"/>
              <w:bottom w:w="150" w:type="dxa"/>
              <w:right w:w="240" w:type="dxa"/>
            </w:tcMar>
            <w:vAlign w:val="center"/>
          </w:tcPr>
          <w:p w14:paraId="0E99E496">
            <w:pPr>
              <w:widowControl/>
              <w:jc w:val="left"/>
              <w:rPr>
                <w:rFonts w:ascii="仿宋" w:hAnsi="仿宋" w:eastAsia="仿宋" w:cs="Segoe UI"/>
                <w:color w:val="0F1115"/>
                <w:kern w:val="0"/>
                <w:szCs w:val="21"/>
              </w:rPr>
            </w:pPr>
            <w:r>
              <w:rPr>
                <w:rFonts w:ascii="仿宋" w:hAnsi="仿宋" w:eastAsia="仿宋" w:cs="Segoe UI"/>
                <w:color w:val="0F1115"/>
                <w:kern w:val="0"/>
                <w:szCs w:val="21"/>
              </w:rPr>
              <w:t>参选报价</w:t>
            </w:r>
          </w:p>
        </w:tc>
        <w:tc>
          <w:tcPr>
            <w:tcW w:w="4536" w:type="dxa"/>
            <w:shd w:val="clear" w:color="auto" w:fill="FFFFFF"/>
            <w:tcMar>
              <w:top w:w="150" w:type="dxa"/>
              <w:left w:w="240" w:type="dxa"/>
              <w:bottom w:w="150" w:type="dxa"/>
              <w:right w:w="240" w:type="dxa"/>
            </w:tcMar>
            <w:vAlign w:val="center"/>
          </w:tcPr>
          <w:p w14:paraId="29E0DE43">
            <w:pPr>
              <w:widowControl/>
              <w:jc w:val="left"/>
              <w:rPr>
                <w:rFonts w:ascii="仿宋" w:hAnsi="仿宋" w:eastAsia="仿宋" w:cs="Segoe UI"/>
                <w:color w:val="0F1115"/>
                <w:kern w:val="0"/>
                <w:szCs w:val="21"/>
              </w:rPr>
            </w:pPr>
            <w:r>
              <w:rPr>
                <w:rFonts w:ascii="仿宋" w:hAnsi="仿宋" w:eastAsia="仿宋" w:cs="Segoe UI"/>
                <w:color w:val="0F1115"/>
                <w:kern w:val="0"/>
                <w:szCs w:val="21"/>
              </w:rPr>
              <w:t>满足比选文件要求且参选价格最低的报价为评审基准价，其价格分为满分</w:t>
            </w:r>
            <w:r>
              <w:rPr>
                <w:rFonts w:hint="eastAsia" w:ascii="仿宋" w:hAnsi="仿宋" w:eastAsia="仿宋" w:cs="Segoe UI"/>
                <w:color w:val="0F1115"/>
                <w:kern w:val="0"/>
                <w:szCs w:val="21"/>
              </w:rPr>
              <w:t>1</w:t>
            </w:r>
            <w:r>
              <w:rPr>
                <w:rFonts w:ascii="仿宋" w:hAnsi="仿宋" w:eastAsia="仿宋" w:cs="Segoe UI"/>
                <w:color w:val="0F1115"/>
                <w:kern w:val="0"/>
                <w:szCs w:val="21"/>
              </w:rPr>
              <w:t xml:space="preserve">0分。其他参选人的价格分统一按照下列公式计算：价格得分 = (评审基准价 / 参选报价) × </w:t>
            </w:r>
            <w:r>
              <w:rPr>
                <w:rFonts w:hint="eastAsia" w:ascii="仿宋" w:hAnsi="仿宋" w:eastAsia="仿宋" w:cs="Segoe UI"/>
                <w:color w:val="0F1115"/>
                <w:kern w:val="0"/>
                <w:szCs w:val="21"/>
              </w:rPr>
              <w:t>10</w:t>
            </w:r>
            <w:r>
              <w:rPr>
                <w:rFonts w:ascii="仿宋" w:hAnsi="仿宋" w:eastAsia="仿宋" w:cs="Segoe UI"/>
                <w:color w:val="0F1115"/>
                <w:kern w:val="0"/>
                <w:szCs w:val="21"/>
              </w:rPr>
              <w:t>。</w:t>
            </w:r>
          </w:p>
        </w:tc>
        <w:tc>
          <w:tcPr>
            <w:tcW w:w="850" w:type="dxa"/>
            <w:shd w:val="clear" w:color="auto" w:fill="FFFFFF"/>
            <w:tcMar>
              <w:top w:w="150" w:type="dxa"/>
              <w:left w:w="240" w:type="dxa"/>
              <w:bottom w:w="150" w:type="dxa"/>
              <w:right w:w="240" w:type="dxa"/>
            </w:tcMar>
            <w:vAlign w:val="center"/>
          </w:tcPr>
          <w:p w14:paraId="1D8DC89F">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10</w:t>
            </w:r>
          </w:p>
        </w:tc>
        <w:tc>
          <w:tcPr>
            <w:tcW w:w="1007" w:type="dxa"/>
            <w:shd w:val="clear" w:color="auto" w:fill="FFFFFF"/>
            <w:tcMar>
              <w:top w:w="150" w:type="dxa"/>
              <w:left w:w="240" w:type="dxa"/>
              <w:bottom w:w="150" w:type="dxa"/>
              <w:right w:w="0" w:type="dxa"/>
            </w:tcMar>
            <w:vAlign w:val="center"/>
          </w:tcPr>
          <w:p w14:paraId="0808C382">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3C951A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1A019252">
            <w:pPr>
              <w:widowControl/>
              <w:jc w:val="left"/>
              <w:rPr>
                <w:rFonts w:ascii="仿宋" w:hAnsi="仿宋" w:eastAsia="仿宋" w:cs="Segoe UI"/>
                <w:color w:val="0F1115"/>
                <w:kern w:val="0"/>
                <w:szCs w:val="21"/>
              </w:rPr>
            </w:pPr>
            <w:r>
              <w:rPr>
                <w:rFonts w:ascii="仿宋" w:hAnsi="仿宋" w:eastAsia="仿宋" w:cs="Segoe UI"/>
                <w:color w:val="0F1115"/>
                <w:kern w:val="0"/>
                <w:szCs w:val="21"/>
              </w:rPr>
              <w:t>库房条件</w:t>
            </w:r>
            <w:r>
              <w:rPr>
                <w:rFonts w:ascii="仿宋" w:hAnsi="仿宋" w:eastAsia="仿宋" w:cs="宋体"/>
                <w:bCs/>
                <w:kern w:val="0"/>
                <w:szCs w:val="21"/>
              </w:rPr>
              <w:t>（</w:t>
            </w:r>
            <w:r>
              <w:rPr>
                <w:rFonts w:hint="eastAsia" w:ascii="仿宋" w:hAnsi="仿宋" w:eastAsia="仿宋" w:cs="宋体"/>
                <w:bCs/>
                <w:kern w:val="0"/>
                <w:szCs w:val="21"/>
              </w:rPr>
              <w:t>30</w:t>
            </w:r>
            <w:r>
              <w:rPr>
                <w:rFonts w:ascii="仿宋" w:hAnsi="仿宋" w:eastAsia="仿宋" w:cs="宋体"/>
                <w:bCs/>
                <w:kern w:val="0"/>
                <w:szCs w:val="21"/>
              </w:rPr>
              <w:t>分）</w:t>
            </w:r>
          </w:p>
        </w:tc>
        <w:tc>
          <w:tcPr>
            <w:tcW w:w="993" w:type="dxa"/>
            <w:shd w:val="clear" w:color="auto" w:fill="FFFFFF"/>
            <w:tcMar>
              <w:top w:w="150" w:type="dxa"/>
              <w:left w:w="240" w:type="dxa"/>
              <w:bottom w:w="150" w:type="dxa"/>
              <w:right w:w="240" w:type="dxa"/>
            </w:tcMar>
            <w:vAlign w:val="center"/>
          </w:tcPr>
          <w:p w14:paraId="4733B2C2">
            <w:pPr>
              <w:widowControl/>
              <w:jc w:val="left"/>
              <w:rPr>
                <w:rFonts w:ascii="仿宋" w:hAnsi="仿宋" w:eastAsia="仿宋" w:cs="Segoe UI"/>
                <w:color w:val="0F1115"/>
                <w:kern w:val="0"/>
                <w:szCs w:val="21"/>
              </w:rPr>
            </w:pPr>
            <w:r>
              <w:rPr>
                <w:rFonts w:ascii="仿宋" w:hAnsi="仿宋" w:eastAsia="仿宋" w:cs="Segoe UI"/>
                <w:color w:val="0F1115"/>
                <w:kern w:val="0"/>
                <w:szCs w:val="21"/>
              </w:rPr>
              <w:t>面积符合度</w:t>
            </w:r>
          </w:p>
        </w:tc>
        <w:tc>
          <w:tcPr>
            <w:tcW w:w="4536" w:type="dxa"/>
            <w:shd w:val="clear" w:color="auto" w:fill="FFFFFF"/>
            <w:tcMar>
              <w:top w:w="150" w:type="dxa"/>
              <w:left w:w="240" w:type="dxa"/>
              <w:bottom w:w="150" w:type="dxa"/>
              <w:right w:w="240" w:type="dxa"/>
            </w:tcMar>
            <w:vAlign w:val="center"/>
          </w:tcPr>
          <w:p w14:paraId="7B016D96">
            <w:pPr>
              <w:widowControl/>
              <w:jc w:val="left"/>
              <w:rPr>
                <w:rFonts w:ascii="仿宋" w:hAnsi="仿宋" w:eastAsia="仿宋" w:cs="Segoe UI"/>
                <w:color w:val="0F1115"/>
                <w:kern w:val="0"/>
                <w:szCs w:val="21"/>
              </w:rPr>
            </w:pPr>
            <w:r>
              <w:rPr>
                <w:rFonts w:ascii="仿宋" w:hAnsi="仿宋" w:eastAsia="仿宋" w:cs="Segoe UI"/>
                <w:color w:val="0F1115"/>
                <w:kern w:val="0"/>
                <w:szCs w:val="21"/>
              </w:rPr>
              <w:t>承诺建筑面积在700-800平方米范围内得</w:t>
            </w:r>
            <w:r>
              <w:rPr>
                <w:rFonts w:hint="eastAsia" w:ascii="仿宋" w:hAnsi="仿宋" w:eastAsia="仿宋" w:cs="Segoe UI"/>
                <w:color w:val="0F1115"/>
                <w:kern w:val="0"/>
                <w:szCs w:val="21"/>
              </w:rPr>
              <w:t>5</w:t>
            </w:r>
            <w:r>
              <w:rPr>
                <w:rFonts w:ascii="仿宋" w:hAnsi="仿宋" w:eastAsia="仿宋" w:cs="Segoe UI"/>
                <w:color w:val="0F1115"/>
                <w:kern w:val="0"/>
                <w:szCs w:val="21"/>
              </w:rPr>
              <w:t>分；超出该范围但在±10%以内（即630-770或800-880）得</w:t>
            </w:r>
            <w:r>
              <w:rPr>
                <w:rFonts w:hint="eastAsia" w:ascii="仿宋" w:hAnsi="仿宋" w:eastAsia="仿宋" w:cs="Segoe UI"/>
                <w:color w:val="0F1115"/>
                <w:kern w:val="0"/>
                <w:szCs w:val="21"/>
              </w:rPr>
              <w:t>3</w:t>
            </w:r>
            <w:r>
              <w:rPr>
                <w:rFonts w:ascii="仿宋" w:hAnsi="仿宋" w:eastAsia="仿宋" w:cs="Segoe UI"/>
                <w:color w:val="0F1115"/>
                <w:kern w:val="0"/>
                <w:szCs w:val="21"/>
              </w:rPr>
              <w:t>分；超出±10%但仍在合理范围（需经采购人接受）得</w:t>
            </w:r>
            <w:r>
              <w:rPr>
                <w:rFonts w:hint="eastAsia" w:ascii="仿宋" w:hAnsi="仿宋" w:eastAsia="仿宋" w:cs="Segoe UI"/>
                <w:color w:val="0F1115"/>
                <w:kern w:val="0"/>
                <w:szCs w:val="21"/>
              </w:rPr>
              <w:t>1</w:t>
            </w:r>
            <w:r>
              <w:rPr>
                <w:rFonts w:ascii="仿宋" w:hAnsi="仿宋" w:eastAsia="仿宋" w:cs="Segoe UI"/>
                <w:color w:val="0F1115"/>
                <w:kern w:val="0"/>
                <w:szCs w:val="21"/>
              </w:rPr>
              <w:t>分；无法满足或未承诺得</w:t>
            </w:r>
            <w:r>
              <w:rPr>
                <w:rFonts w:hint="eastAsia" w:ascii="仿宋" w:hAnsi="仿宋" w:eastAsia="仿宋" w:cs="Segoe UI"/>
                <w:color w:val="0F1115"/>
                <w:kern w:val="0"/>
                <w:szCs w:val="21"/>
              </w:rPr>
              <w:t>0</w:t>
            </w:r>
            <w:r>
              <w:rPr>
                <w:rFonts w:ascii="仿宋" w:hAnsi="仿宋" w:eastAsia="仿宋" w:cs="Segoe UI"/>
                <w:color w:val="0F1115"/>
                <w:kern w:val="0"/>
                <w:szCs w:val="21"/>
              </w:rPr>
              <w:t>分。</w:t>
            </w:r>
          </w:p>
        </w:tc>
        <w:tc>
          <w:tcPr>
            <w:tcW w:w="850" w:type="dxa"/>
            <w:shd w:val="clear" w:color="auto" w:fill="FFFFFF"/>
            <w:tcMar>
              <w:top w:w="150" w:type="dxa"/>
              <w:left w:w="240" w:type="dxa"/>
              <w:bottom w:w="150" w:type="dxa"/>
              <w:right w:w="240" w:type="dxa"/>
            </w:tcMar>
            <w:vAlign w:val="center"/>
          </w:tcPr>
          <w:p w14:paraId="4C53A8BE">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5</w:t>
            </w:r>
          </w:p>
        </w:tc>
        <w:tc>
          <w:tcPr>
            <w:tcW w:w="1007" w:type="dxa"/>
            <w:shd w:val="clear" w:color="auto" w:fill="FFFFFF"/>
            <w:tcMar>
              <w:top w:w="150" w:type="dxa"/>
              <w:left w:w="240" w:type="dxa"/>
              <w:bottom w:w="150" w:type="dxa"/>
              <w:right w:w="0" w:type="dxa"/>
            </w:tcMar>
            <w:vAlign w:val="center"/>
          </w:tcPr>
          <w:p w14:paraId="711786B0">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13BCB1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4AC42768">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0A699BA8">
            <w:pPr>
              <w:widowControl/>
              <w:jc w:val="left"/>
              <w:rPr>
                <w:rFonts w:ascii="仿宋" w:hAnsi="仿宋" w:eastAsia="仿宋" w:cs="Segoe UI"/>
                <w:color w:val="0F1115"/>
                <w:kern w:val="0"/>
                <w:szCs w:val="21"/>
              </w:rPr>
            </w:pPr>
            <w:r>
              <w:rPr>
                <w:rFonts w:ascii="仿宋" w:hAnsi="仿宋" w:eastAsia="仿宋" w:cs="Segoe UI"/>
                <w:color w:val="0F1115"/>
                <w:kern w:val="0"/>
                <w:szCs w:val="21"/>
              </w:rPr>
              <w:t>房屋结构</w:t>
            </w:r>
          </w:p>
        </w:tc>
        <w:tc>
          <w:tcPr>
            <w:tcW w:w="4536" w:type="dxa"/>
            <w:shd w:val="clear" w:color="auto" w:fill="FFFFFF"/>
            <w:tcMar>
              <w:top w:w="150" w:type="dxa"/>
              <w:left w:w="240" w:type="dxa"/>
              <w:bottom w:w="150" w:type="dxa"/>
              <w:right w:w="240" w:type="dxa"/>
            </w:tcMar>
            <w:vAlign w:val="center"/>
          </w:tcPr>
          <w:p w14:paraId="68A082FA">
            <w:pPr>
              <w:widowControl/>
              <w:jc w:val="left"/>
              <w:rPr>
                <w:rFonts w:ascii="仿宋" w:hAnsi="仿宋" w:eastAsia="仿宋" w:cs="Segoe UI"/>
                <w:color w:val="0F1115"/>
                <w:kern w:val="0"/>
                <w:szCs w:val="21"/>
              </w:rPr>
            </w:pPr>
            <w:r>
              <w:rPr>
                <w:rFonts w:ascii="仿宋" w:hAnsi="仿宋" w:eastAsia="仿宋" w:cs="Segoe UI"/>
                <w:color w:val="0F1115"/>
                <w:kern w:val="0"/>
                <w:szCs w:val="21"/>
              </w:rPr>
              <w:t>砖混或有实墙结构得</w:t>
            </w:r>
            <w:r>
              <w:rPr>
                <w:rFonts w:hint="eastAsia" w:ascii="仿宋" w:hAnsi="仿宋" w:eastAsia="仿宋" w:cs="Segoe UI"/>
                <w:color w:val="0F1115"/>
                <w:kern w:val="0"/>
                <w:szCs w:val="21"/>
              </w:rPr>
              <w:t>5</w:t>
            </w:r>
            <w:r>
              <w:rPr>
                <w:rFonts w:ascii="仿宋" w:hAnsi="仿宋" w:eastAsia="仿宋" w:cs="Segoe UI"/>
                <w:color w:val="0F1115"/>
                <w:kern w:val="0"/>
                <w:szCs w:val="21"/>
              </w:rPr>
              <w:t>分；钢结构加砌体或其他符合要求的结构得</w:t>
            </w:r>
            <w:r>
              <w:rPr>
                <w:rFonts w:hint="eastAsia" w:ascii="仿宋" w:hAnsi="仿宋" w:eastAsia="仿宋" w:cs="Segoe UI"/>
                <w:color w:val="0F1115"/>
                <w:kern w:val="0"/>
                <w:szCs w:val="21"/>
              </w:rPr>
              <w:t>3</w:t>
            </w:r>
            <w:r>
              <w:rPr>
                <w:rFonts w:ascii="仿宋" w:hAnsi="仿宋" w:eastAsia="仿宋" w:cs="Segoe UI"/>
                <w:color w:val="0F1115"/>
                <w:kern w:val="0"/>
                <w:szCs w:val="21"/>
              </w:rPr>
              <w:t>分；简易结构或不符合</w:t>
            </w:r>
            <w:r>
              <w:rPr>
                <w:rFonts w:hint="eastAsia" w:ascii="仿宋" w:hAnsi="仿宋" w:eastAsia="仿宋" w:cs="Segoe UI"/>
                <w:color w:val="0F1115"/>
                <w:kern w:val="0"/>
                <w:szCs w:val="21"/>
              </w:rPr>
              <w:t>0</w:t>
            </w:r>
            <w:r>
              <w:rPr>
                <w:rFonts w:ascii="仿宋" w:hAnsi="仿宋" w:eastAsia="仿宋" w:cs="Segoe UI"/>
                <w:color w:val="0F1115"/>
                <w:kern w:val="0"/>
                <w:szCs w:val="21"/>
              </w:rPr>
              <w:t>分（需提供证明材料或照片）。</w:t>
            </w:r>
          </w:p>
        </w:tc>
        <w:tc>
          <w:tcPr>
            <w:tcW w:w="850" w:type="dxa"/>
            <w:shd w:val="clear" w:color="auto" w:fill="FFFFFF"/>
            <w:tcMar>
              <w:top w:w="150" w:type="dxa"/>
              <w:left w:w="240" w:type="dxa"/>
              <w:bottom w:w="150" w:type="dxa"/>
              <w:right w:w="240" w:type="dxa"/>
            </w:tcMar>
            <w:vAlign w:val="center"/>
          </w:tcPr>
          <w:p w14:paraId="020F66F5">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5</w:t>
            </w:r>
          </w:p>
        </w:tc>
        <w:tc>
          <w:tcPr>
            <w:tcW w:w="1007" w:type="dxa"/>
            <w:shd w:val="clear" w:color="auto" w:fill="FFFFFF"/>
            <w:tcMar>
              <w:top w:w="150" w:type="dxa"/>
              <w:left w:w="240" w:type="dxa"/>
              <w:bottom w:w="150" w:type="dxa"/>
              <w:right w:w="0" w:type="dxa"/>
            </w:tcMar>
            <w:vAlign w:val="center"/>
          </w:tcPr>
          <w:p w14:paraId="1DF4A6D8">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044447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3F5D1B44">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6A386D39">
            <w:pPr>
              <w:widowControl/>
              <w:jc w:val="left"/>
              <w:rPr>
                <w:rFonts w:ascii="仿宋" w:hAnsi="仿宋" w:eastAsia="仿宋" w:cs="Segoe UI"/>
                <w:color w:val="0F1115"/>
                <w:kern w:val="0"/>
                <w:szCs w:val="21"/>
              </w:rPr>
            </w:pPr>
            <w:r>
              <w:rPr>
                <w:rFonts w:ascii="仿宋" w:hAnsi="仿宋" w:eastAsia="仿宋" w:cs="Segoe UI"/>
                <w:color w:val="0F1115"/>
                <w:kern w:val="0"/>
                <w:szCs w:val="21"/>
              </w:rPr>
              <w:t>地面承载能力</w:t>
            </w:r>
          </w:p>
        </w:tc>
        <w:tc>
          <w:tcPr>
            <w:tcW w:w="4536" w:type="dxa"/>
            <w:shd w:val="clear" w:color="auto" w:fill="FFFFFF"/>
            <w:tcMar>
              <w:top w:w="150" w:type="dxa"/>
              <w:left w:w="240" w:type="dxa"/>
              <w:bottom w:w="150" w:type="dxa"/>
              <w:right w:w="240" w:type="dxa"/>
            </w:tcMar>
            <w:vAlign w:val="center"/>
          </w:tcPr>
          <w:p w14:paraId="26E14818">
            <w:pPr>
              <w:widowControl/>
              <w:jc w:val="left"/>
              <w:rPr>
                <w:rFonts w:ascii="仿宋" w:hAnsi="仿宋" w:eastAsia="仿宋" w:cs="Segoe UI"/>
                <w:color w:val="0F1115"/>
                <w:kern w:val="0"/>
                <w:szCs w:val="21"/>
              </w:rPr>
            </w:pPr>
            <w:r>
              <w:rPr>
                <w:rFonts w:ascii="仿宋" w:hAnsi="仿宋" w:eastAsia="仿宋" w:cs="Segoe UI"/>
                <w:color w:val="0F1115"/>
                <w:kern w:val="0"/>
                <w:szCs w:val="21"/>
              </w:rPr>
              <w:t>提供书面承诺或证明（如地坪设计说明、过往存放记录、第三方检测报告等）能承载3吨单体物品得</w:t>
            </w:r>
            <w:r>
              <w:rPr>
                <w:rFonts w:hint="eastAsia" w:ascii="仿宋" w:hAnsi="仿宋" w:eastAsia="仿宋" w:cs="Segoe UI"/>
                <w:color w:val="0F1115"/>
                <w:kern w:val="0"/>
                <w:szCs w:val="21"/>
              </w:rPr>
              <w:t>5</w:t>
            </w:r>
            <w:r>
              <w:rPr>
                <w:rFonts w:ascii="仿宋" w:hAnsi="仿宋" w:eastAsia="仿宋" w:cs="Segoe UI"/>
                <w:color w:val="0F1115"/>
                <w:kern w:val="0"/>
                <w:szCs w:val="21"/>
              </w:rPr>
              <w:t>分；仅承诺但无证明得</w:t>
            </w:r>
            <w:r>
              <w:rPr>
                <w:rFonts w:hint="eastAsia" w:ascii="仿宋" w:hAnsi="仿宋" w:eastAsia="仿宋" w:cs="Segoe UI"/>
                <w:color w:val="0F1115"/>
                <w:kern w:val="0"/>
                <w:szCs w:val="21"/>
              </w:rPr>
              <w:t>3</w:t>
            </w:r>
            <w:r>
              <w:rPr>
                <w:rFonts w:ascii="仿宋" w:hAnsi="仿宋" w:eastAsia="仿宋" w:cs="Segoe UI"/>
                <w:color w:val="0F1115"/>
                <w:kern w:val="0"/>
                <w:szCs w:val="21"/>
              </w:rPr>
              <w:t>分；无法满足得</w:t>
            </w:r>
            <w:r>
              <w:rPr>
                <w:rFonts w:hint="eastAsia" w:ascii="仿宋" w:hAnsi="仿宋" w:eastAsia="仿宋" w:cs="Segoe UI"/>
                <w:color w:val="0F1115"/>
                <w:kern w:val="0"/>
                <w:szCs w:val="21"/>
              </w:rPr>
              <w:t>0</w:t>
            </w:r>
            <w:r>
              <w:rPr>
                <w:rFonts w:ascii="仿宋" w:hAnsi="仿宋" w:eastAsia="仿宋" w:cs="Segoe UI"/>
                <w:color w:val="0F1115"/>
                <w:kern w:val="0"/>
                <w:szCs w:val="21"/>
              </w:rPr>
              <w:t>分。</w:t>
            </w:r>
          </w:p>
        </w:tc>
        <w:tc>
          <w:tcPr>
            <w:tcW w:w="850" w:type="dxa"/>
            <w:shd w:val="clear" w:color="auto" w:fill="FFFFFF"/>
            <w:tcMar>
              <w:top w:w="150" w:type="dxa"/>
              <w:left w:w="240" w:type="dxa"/>
              <w:bottom w:w="150" w:type="dxa"/>
              <w:right w:w="240" w:type="dxa"/>
            </w:tcMar>
            <w:vAlign w:val="center"/>
          </w:tcPr>
          <w:p w14:paraId="4D9EF2A5">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5</w:t>
            </w:r>
          </w:p>
        </w:tc>
        <w:tc>
          <w:tcPr>
            <w:tcW w:w="1007" w:type="dxa"/>
            <w:shd w:val="clear" w:color="auto" w:fill="FFFFFF"/>
            <w:tcMar>
              <w:top w:w="150" w:type="dxa"/>
              <w:left w:w="240" w:type="dxa"/>
              <w:bottom w:w="150" w:type="dxa"/>
              <w:right w:w="0" w:type="dxa"/>
            </w:tcMar>
            <w:vAlign w:val="center"/>
          </w:tcPr>
          <w:p w14:paraId="398BF0A4">
            <w:pPr>
              <w:widowControl/>
              <w:jc w:val="left"/>
              <w:rPr>
                <w:rFonts w:ascii="仿宋" w:hAnsi="仿宋" w:eastAsia="仿宋" w:cs="Segoe UI"/>
                <w:color w:val="0F1115"/>
                <w:kern w:val="0"/>
                <w:szCs w:val="21"/>
              </w:rPr>
            </w:pPr>
            <w:r>
              <w:rPr>
                <w:rFonts w:ascii="仿宋" w:hAnsi="仿宋" w:eastAsia="仿宋" w:cs="Segoe UI"/>
                <w:color w:val="0F1115"/>
                <w:kern w:val="0"/>
                <w:szCs w:val="21"/>
              </w:rPr>
              <w:t>客观/主观</w:t>
            </w:r>
          </w:p>
        </w:tc>
      </w:tr>
      <w:tr w14:paraId="31FAFD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5F889195">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147A25CF">
            <w:pPr>
              <w:widowControl/>
              <w:jc w:val="left"/>
              <w:rPr>
                <w:rFonts w:ascii="仿宋" w:hAnsi="仿宋" w:eastAsia="仿宋" w:cs="Segoe UI"/>
                <w:color w:val="0F1115"/>
                <w:kern w:val="0"/>
                <w:szCs w:val="21"/>
              </w:rPr>
            </w:pPr>
            <w:r>
              <w:rPr>
                <w:rFonts w:ascii="仿宋" w:hAnsi="仿宋" w:eastAsia="仿宋" w:cs="Segoe UI"/>
                <w:color w:val="0F1115"/>
                <w:kern w:val="0"/>
                <w:szCs w:val="21"/>
              </w:rPr>
              <w:t>交通便利性</w:t>
            </w:r>
          </w:p>
        </w:tc>
        <w:tc>
          <w:tcPr>
            <w:tcW w:w="4536" w:type="dxa"/>
            <w:shd w:val="clear" w:color="auto" w:fill="FFFFFF"/>
            <w:tcMar>
              <w:top w:w="150" w:type="dxa"/>
              <w:left w:w="240" w:type="dxa"/>
              <w:bottom w:w="150" w:type="dxa"/>
              <w:right w:w="240" w:type="dxa"/>
            </w:tcMar>
            <w:vAlign w:val="center"/>
          </w:tcPr>
          <w:p w14:paraId="1FBCEA53">
            <w:pPr>
              <w:widowControl/>
              <w:jc w:val="left"/>
              <w:rPr>
                <w:rFonts w:ascii="仿宋" w:hAnsi="仿宋" w:eastAsia="仿宋" w:cs="Segoe UI"/>
                <w:color w:val="0F1115"/>
                <w:kern w:val="0"/>
                <w:szCs w:val="21"/>
              </w:rPr>
            </w:pPr>
            <w:r>
              <w:rPr>
                <w:rFonts w:ascii="仿宋" w:hAnsi="仿宋" w:eastAsia="仿宋" w:cs="Segoe UI"/>
                <w:color w:val="0F1115"/>
                <w:kern w:val="0"/>
                <w:szCs w:val="21"/>
              </w:rPr>
              <w:t>库房方便4-6米货车进出，入口适合大型货物装卸。根据供应商提供的库区道路、入口宽度、转弯半径的描述、照片或视频资料综合评定：优秀（</w:t>
            </w:r>
            <w:r>
              <w:rPr>
                <w:rFonts w:hint="eastAsia" w:ascii="仿宋" w:hAnsi="仿宋" w:eastAsia="仿宋" w:cs="Segoe UI"/>
                <w:color w:val="0F1115"/>
                <w:kern w:val="0"/>
                <w:szCs w:val="21"/>
              </w:rPr>
              <w:t>5</w:t>
            </w:r>
            <w:r>
              <w:rPr>
                <w:rFonts w:ascii="仿宋" w:hAnsi="仿宋" w:eastAsia="仿宋" w:cs="Segoe UI"/>
                <w:color w:val="0F1115"/>
                <w:kern w:val="0"/>
                <w:szCs w:val="21"/>
              </w:rPr>
              <w:t>分）：道路畅通，入口宽敞，大型车辆可轻松进出、调头；良好（</w:t>
            </w:r>
            <w:r>
              <w:rPr>
                <w:rFonts w:hint="eastAsia" w:ascii="仿宋" w:hAnsi="仿宋" w:eastAsia="仿宋" w:cs="Segoe UI"/>
                <w:color w:val="0F1115"/>
                <w:kern w:val="0"/>
                <w:szCs w:val="21"/>
              </w:rPr>
              <w:t>3</w:t>
            </w:r>
            <w:r>
              <w:rPr>
                <w:rFonts w:ascii="仿宋" w:hAnsi="仿宋" w:eastAsia="仿宋" w:cs="Segoe UI"/>
                <w:color w:val="0F1115"/>
                <w:kern w:val="0"/>
                <w:szCs w:val="21"/>
              </w:rPr>
              <w:t>分）：基本满足车辆进出要求，但有一定限制；一般（</w:t>
            </w:r>
            <w:r>
              <w:rPr>
                <w:rFonts w:hint="eastAsia" w:ascii="仿宋" w:hAnsi="仿宋" w:eastAsia="仿宋" w:cs="Segoe UI"/>
                <w:color w:val="0F1115"/>
                <w:kern w:val="0"/>
                <w:szCs w:val="21"/>
              </w:rPr>
              <w:t>1</w:t>
            </w:r>
            <w:r>
              <w:rPr>
                <w:rFonts w:ascii="仿宋" w:hAnsi="仿宋" w:eastAsia="仿宋" w:cs="Segoe UI"/>
                <w:color w:val="0F1115"/>
                <w:kern w:val="0"/>
                <w:szCs w:val="21"/>
              </w:rPr>
              <w:t>分）：勉强满足，存在明显不便。</w:t>
            </w:r>
          </w:p>
        </w:tc>
        <w:tc>
          <w:tcPr>
            <w:tcW w:w="850" w:type="dxa"/>
            <w:shd w:val="clear" w:color="auto" w:fill="FFFFFF"/>
            <w:tcMar>
              <w:top w:w="150" w:type="dxa"/>
              <w:left w:w="240" w:type="dxa"/>
              <w:bottom w:w="150" w:type="dxa"/>
              <w:right w:w="240" w:type="dxa"/>
            </w:tcMar>
            <w:vAlign w:val="center"/>
          </w:tcPr>
          <w:p w14:paraId="15C015EA">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5</w:t>
            </w:r>
          </w:p>
        </w:tc>
        <w:tc>
          <w:tcPr>
            <w:tcW w:w="1007" w:type="dxa"/>
            <w:shd w:val="clear" w:color="auto" w:fill="FFFFFF"/>
            <w:tcMar>
              <w:top w:w="150" w:type="dxa"/>
              <w:left w:w="240" w:type="dxa"/>
              <w:bottom w:w="150" w:type="dxa"/>
              <w:right w:w="0" w:type="dxa"/>
            </w:tcMar>
            <w:vAlign w:val="center"/>
          </w:tcPr>
          <w:p w14:paraId="0245236A">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221DBB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4B748AFC">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03EB66BD">
            <w:pPr>
              <w:widowControl/>
              <w:jc w:val="left"/>
              <w:rPr>
                <w:rFonts w:ascii="仿宋" w:hAnsi="仿宋" w:eastAsia="仿宋" w:cs="Segoe UI"/>
                <w:color w:val="0F1115"/>
                <w:kern w:val="0"/>
                <w:szCs w:val="21"/>
              </w:rPr>
            </w:pPr>
            <w:r>
              <w:rPr>
                <w:rFonts w:ascii="仿宋" w:hAnsi="仿宋" w:eastAsia="仿宋" w:cs="Segoe UI"/>
                <w:color w:val="0F1115"/>
                <w:kern w:val="0"/>
                <w:szCs w:val="21"/>
              </w:rPr>
              <w:t>水电设施</w:t>
            </w:r>
          </w:p>
        </w:tc>
        <w:tc>
          <w:tcPr>
            <w:tcW w:w="4536" w:type="dxa"/>
            <w:shd w:val="clear" w:color="auto" w:fill="FFFFFF"/>
            <w:tcMar>
              <w:top w:w="150" w:type="dxa"/>
              <w:left w:w="240" w:type="dxa"/>
              <w:bottom w:w="150" w:type="dxa"/>
              <w:right w:w="240" w:type="dxa"/>
            </w:tcMar>
            <w:vAlign w:val="center"/>
          </w:tcPr>
          <w:p w14:paraId="38CCDE97">
            <w:pPr>
              <w:widowControl/>
              <w:jc w:val="left"/>
              <w:rPr>
                <w:rFonts w:ascii="仿宋" w:hAnsi="仿宋" w:eastAsia="仿宋" w:cs="Segoe UI"/>
                <w:color w:val="0F1115"/>
                <w:kern w:val="0"/>
                <w:szCs w:val="21"/>
              </w:rPr>
            </w:pPr>
            <w:r>
              <w:rPr>
                <w:rFonts w:ascii="仿宋" w:hAnsi="仿宋" w:eastAsia="仿宋" w:cs="Segoe UI"/>
                <w:color w:val="0F1115"/>
                <w:kern w:val="0"/>
                <w:szCs w:val="21"/>
              </w:rPr>
              <w:t>水电正常使用，且投标人负责日常维修维护，并承诺无偿提供采购人用电用水，完全满足得</w:t>
            </w:r>
            <w:r>
              <w:rPr>
                <w:rFonts w:hint="eastAsia" w:ascii="仿宋" w:hAnsi="仿宋" w:eastAsia="仿宋" w:cs="Segoe UI"/>
                <w:color w:val="0F1115"/>
                <w:kern w:val="0"/>
                <w:szCs w:val="21"/>
              </w:rPr>
              <w:t>5</w:t>
            </w:r>
            <w:r>
              <w:rPr>
                <w:rFonts w:ascii="仿宋" w:hAnsi="仿宋" w:eastAsia="仿宋" w:cs="Segoe UI"/>
                <w:color w:val="0F1115"/>
                <w:kern w:val="0"/>
                <w:szCs w:val="21"/>
              </w:rPr>
              <w:t>分；有水电但需采购人承担费用或有其他限制得</w:t>
            </w:r>
            <w:r>
              <w:rPr>
                <w:rFonts w:hint="eastAsia" w:ascii="仿宋" w:hAnsi="仿宋" w:eastAsia="仿宋" w:cs="Segoe UI"/>
                <w:color w:val="0F1115"/>
                <w:kern w:val="0"/>
                <w:szCs w:val="21"/>
              </w:rPr>
              <w:t>2</w:t>
            </w:r>
            <w:r>
              <w:rPr>
                <w:rFonts w:ascii="仿宋" w:hAnsi="仿宋" w:eastAsia="仿宋" w:cs="Segoe UI"/>
                <w:color w:val="0F1115"/>
                <w:kern w:val="0"/>
                <w:szCs w:val="21"/>
              </w:rPr>
              <w:t>分；无法满足得</w:t>
            </w:r>
            <w:r>
              <w:rPr>
                <w:rFonts w:hint="eastAsia" w:ascii="仿宋" w:hAnsi="仿宋" w:eastAsia="仿宋" w:cs="Segoe UI"/>
                <w:color w:val="0F1115"/>
                <w:kern w:val="0"/>
                <w:szCs w:val="21"/>
              </w:rPr>
              <w:t>0</w:t>
            </w:r>
            <w:r>
              <w:rPr>
                <w:rFonts w:ascii="仿宋" w:hAnsi="仿宋" w:eastAsia="仿宋" w:cs="Segoe UI"/>
                <w:color w:val="0F1115"/>
                <w:kern w:val="0"/>
                <w:szCs w:val="21"/>
              </w:rPr>
              <w:t>分。</w:t>
            </w:r>
          </w:p>
        </w:tc>
        <w:tc>
          <w:tcPr>
            <w:tcW w:w="850" w:type="dxa"/>
            <w:shd w:val="clear" w:color="auto" w:fill="FFFFFF"/>
            <w:tcMar>
              <w:top w:w="150" w:type="dxa"/>
              <w:left w:w="240" w:type="dxa"/>
              <w:bottom w:w="150" w:type="dxa"/>
              <w:right w:w="240" w:type="dxa"/>
            </w:tcMar>
            <w:vAlign w:val="center"/>
          </w:tcPr>
          <w:p w14:paraId="3CD25604">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5</w:t>
            </w:r>
          </w:p>
        </w:tc>
        <w:tc>
          <w:tcPr>
            <w:tcW w:w="1007" w:type="dxa"/>
            <w:shd w:val="clear" w:color="auto" w:fill="FFFFFF"/>
            <w:tcMar>
              <w:top w:w="150" w:type="dxa"/>
              <w:left w:w="240" w:type="dxa"/>
              <w:bottom w:w="150" w:type="dxa"/>
              <w:right w:w="0" w:type="dxa"/>
            </w:tcMar>
            <w:vAlign w:val="center"/>
          </w:tcPr>
          <w:p w14:paraId="6FBCC738">
            <w:pPr>
              <w:widowControl/>
              <w:jc w:val="left"/>
              <w:rPr>
                <w:rFonts w:ascii="仿宋" w:hAnsi="仿宋" w:eastAsia="仿宋" w:cs="Segoe UI"/>
                <w:color w:val="0F1115"/>
                <w:kern w:val="0"/>
                <w:szCs w:val="21"/>
              </w:rPr>
            </w:pPr>
            <w:r>
              <w:rPr>
                <w:rFonts w:ascii="仿宋" w:hAnsi="仿宋" w:eastAsia="仿宋" w:cs="Segoe UI"/>
                <w:color w:val="0F1115"/>
                <w:kern w:val="0"/>
                <w:szCs w:val="21"/>
              </w:rPr>
              <w:t>客观/主观</w:t>
            </w:r>
          </w:p>
        </w:tc>
      </w:tr>
      <w:tr w14:paraId="3580F0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314DACAD">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1B7E1342">
            <w:pPr>
              <w:widowControl/>
              <w:jc w:val="left"/>
              <w:rPr>
                <w:rFonts w:ascii="仿宋" w:hAnsi="仿宋" w:eastAsia="仿宋" w:cs="Segoe UI"/>
                <w:color w:val="0F1115"/>
                <w:kern w:val="0"/>
                <w:szCs w:val="21"/>
              </w:rPr>
            </w:pPr>
            <w:r>
              <w:rPr>
                <w:rFonts w:ascii="仿宋" w:hAnsi="仿宋" w:eastAsia="仿宋" w:cs="Segoe UI"/>
                <w:color w:val="0F1115"/>
                <w:kern w:val="0"/>
                <w:szCs w:val="21"/>
              </w:rPr>
              <w:t>消防及安全设施</w:t>
            </w:r>
          </w:p>
        </w:tc>
        <w:tc>
          <w:tcPr>
            <w:tcW w:w="4536" w:type="dxa"/>
            <w:shd w:val="clear" w:color="auto" w:fill="FFFFFF"/>
            <w:tcMar>
              <w:top w:w="150" w:type="dxa"/>
              <w:left w:w="240" w:type="dxa"/>
              <w:bottom w:w="150" w:type="dxa"/>
              <w:right w:w="240" w:type="dxa"/>
            </w:tcMar>
            <w:vAlign w:val="center"/>
          </w:tcPr>
          <w:p w14:paraId="56DBECF9">
            <w:pPr>
              <w:widowControl/>
              <w:jc w:val="left"/>
              <w:rPr>
                <w:rFonts w:ascii="仿宋" w:hAnsi="仿宋" w:eastAsia="仿宋" w:cs="Segoe UI"/>
                <w:color w:val="0F1115"/>
                <w:kern w:val="0"/>
                <w:szCs w:val="21"/>
              </w:rPr>
            </w:pPr>
            <w:r>
              <w:rPr>
                <w:rFonts w:ascii="仿宋" w:hAnsi="仿宋" w:eastAsia="仿宋" w:cs="Segoe UI"/>
                <w:color w:val="0F1115"/>
                <w:kern w:val="0"/>
                <w:szCs w:val="21"/>
              </w:rPr>
              <w:t>具备基本消防设施（灭火器、消防栓等），且库房内禁止明火，提供设施清单或照片得</w:t>
            </w:r>
            <w:r>
              <w:rPr>
                <w:rFonts w:hint="eastAsia" w:ascii="仿宋" w:hAnsi="仿宋" w:eastAsia="仿宋" w:cs="Segoe UI"/>
                <w:color w:val="0F1115"/>
                <w:kern w:val="0"/>
                <w:szCs w:val="21"/>
              </w:rPr>
              <w:t>5</w:t>
            </w:r>
            <w:r>
              <w:rPr>
                <w:rFonts w:ascii="仿宋" w:hAnsi="仿宋" w:eastAsia="仿宋" w:cs="Segoe UI"/>
                <w:color w:val="0F1115"/>
                <w:kern w:val="0"/>
                <w:szCs w:val="21"/>
              </w:rPr>
              <w:t>分；部分具备但需改进得</w:t>
            </w:r>
            <w:r>
              <w:rPr>
                <w:rFonts w:hint="eastAsia" w:ascii="仿宋" w:hAnsi="仿宋" w:eastAsia="仿宋" w:cs="Segoe UI"/>
                <w:color w:val="0F1115"/>
                <w:kern w:val="0"/>
                <w:szCs w:val="21"/>
              </w:rPr>
              <w:t>2</w:t>
            </w:r>
            <w:r>
              <w:rPr>
                <w:rFonts w:ascii="仿宋" w:hAnsi="仿宋" w:eastAsia="仿宋" w:cs="Segoe UI"/>
                <w:color w:val="0F1115"/>
                <w:kern w:val="0"/>
                <w:szCs w:val="21"/>
              </w:rPr>
              <w:t>分；无任何消防设施得</w:t>
            </w:r>
            <w:r>
              <w:rPr>
                <w:rFonts w:hint="eastAsia" w:ascii="仿宋" w:hAnsi="仿宋" w:eastAsia="仿宋" w:cs="Segoe UI"/>
                <w:color w:val="0F1115"/>
                <w:kern w:val="0"/>
                <w:szCs w:val="21"/>
              </w:rPr>
              <w:t>0</w:t>
            </w:r>
            <w:r>
              <w:rPr>
                <w:rFonts w:ascii="仿宋" w:hAnsi="仿宋" w:eastAsia="仿宋" w:cs="Segoe UI"/>
                <w:color w:val="0F1115"/>
                <w:kern w:val="0"/>
                <w:szCs w:val="21"/>
              </w:rPr>
              <w:t>分。</w:t>
            </w:r>
          </w:p>
        </w:tc>
        <w:tc>
          <w:tcPr>
            <w:tcW w:w="850" w:type="dxa"/>
            <w:shd w:val="clear" w:color="auto" w:fill="FFFFFF"/>
            <w:tcMar>
              <w:top w:w="150" w:type="dxa"/>
              <w:left w:w="240" w:type="dxa"/>
              <w:bottom w:w="150" w:type="dxa"/>
              <w:right w:w="240" w:type="dxa"/>
            </w:tcMar>
            <w:vAlign w:val="center"/>
          </w:tcPr>
          <w:p w14:paraId="762A51ED">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5</w:t>
            </w:r>
          </w:p>
        </w:tc>
        <w:tc>
          <w:tcPr>
            <w:tcW w:w="1007" w:type="dxa"/>
            <w:shd w:val="clear" w:color="auto" w:fill="FFFFFF"/>
            <w:tcMar>
              <w:top w:w="150" w:type="dxa"/>
              <w:left w:w="240" w:type="dxa"/>
              <w:bottom w:w="150" w:type="dxa"/>
              <w:right w:w="0" w:type="dxa"/>
            </w:tcMar>
            <w:vAlign w:val="center"/>
          </w:tcPr>
          <w:p w14:paraId="19852F19">
            <w:pPr>
              <w:widowControl/>
              <w:jc w:val="left"/>
              <w:rPr>
                <w:rFonts w:ascii="仿宋" w:hAnsi="仿宋" w:eastAsia="仿宋" w:cs="Segoe UI"/>
                <w:color w:val="0F1115"/>
                <w:kern w:val="0"/>
                <w:szCs w:val="21"/>
              </w:rPr>
            </w:pPr>
            <w:r>
              <w:rPr>
                <w:rFonts w:ascii="仿宋" w:hAnsi="仿宋" w:eastAsia="仿宋" w:cs="Segoe UI"/>
                <w:color w:val="0F1115"/>
                <w:kern w:val="0"/>
                <w:szCs w:val="21"/>
              </w:rPr>
              <w:t>客观/主观</w:t>
            </w:r>
          </w:p>
        </w:tc>
      </w:tr>
      <w:tr w14:paraId="391D1F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318D9607">
            <w:pPr>
              <w:widowControl/>
              <w:jc w:val="left"/>
              <w:rPr>
                <w:rFonts w:ascii="仿宋" w:hAnsi="仿宋" w:eastAsia="仿宋" w:cs="Segoe UI"/>
                <w:color w:val="0F1115"/>
                <w:kern w:val="0"/>
                <w:szCs w:val="21"/>
              </w:rPr>
            </w:pPr>
            <w:r>
              <w:rPr>
                <w:rFonts w:ascii="仿宋" w:hAnsi="仿宋" w:eastAsia="仿宋" w:cs="Segoe UI"/>
                <w:color w:val="0F1115"/>
                <w:kern w:val="0"/>
                <w:szCs w:val="21"/>
              </w:rPr>
              <w:t>服务方案</w:t>
            </w:r>
            <w:r>
              <w:rPr>
                <w:rFonts w:ascii="仿宋" w:hAnsi="仿宋" w:eastAsia="仿宋" w:cs="宋体"/>
                <w:bCs/>
                <w:kern w:val="0"/>
                <w:szCs w:val="21"/>
              </w:rPr>
              <w:t>（</w:t>
            </w:r>
            <w:r>
              <w:rPr>
                <w:rFonts w:hint="eastAsia" w:ascii="仿宋" w:hAnsi="仿宋" w:eastAsia="仿宋" w:cs="Segoe UI"/>
                <w:color w:val="0F1115"/>
                <w:kern w:val="0"/>
                <w:szCs w:val="21"/>
              </w:rPr>
              <w:t>30</w:t>
            </w:r>
            <w:r>
              <w:rPr>
                <w:rFonts w:ascii="仿宋" w:hAnsi="仿宋" w:eastAsia="仿宋" w:cs="Segoe UI"/>
                <w:color w:val="0F1115"/>
                <w:kern w:val="0"/>
                <w:szCs w:val="21"/>
              </w:rPr>
              <w:t>分）</w:t>
            </w:r>
          </w:p>
        </w:tc>
        <w:tc>
          <w:tcPr>
            <w:tcW w:w="993" w:type="dxa"/>
            <w:shd w:val="clear" w:color="auto" w:fill="FFFFFF"/>
            <w:tcMar>
              <w:top w:w="150" w:type="dxa"/>
              <w:left w:w="240" w:type="dxa"/>
              <w:bottom w:w="150" w:type="dxa"/>
              <w:right w:w="240" w:type="dxa"/>
            </w:tcMar>
            <w:vAlign w:val="center"/>
          </w:tcPr>
          <w:p w14:paraId="10DB1A71">
            <w:pPr>
              <w:widowControl/>
              <w:jc w:val="left"/>
              <w:rPr>
                <w:rFonts w:ascii="仿宋" w:hAnsi="仿宋" w:eastAsia="仿宋" w:cs="Segoe UI"/>
                <w:color w:val="0F1115"/>
                <w:kern w:val="0"/>
                <w:szCs w:val="21"/>
              </w:rPr>
            </w:pPr>
            <w:r>
              <w:rPr>
                <w:rFonts w:ascii="仿宋" w:hAnsi="仿宋" w:eastAsia="仿宋" w:cs="Segoe UI"/>
                <w:color w:val="0F1115"/>
                <w:kern w:val="0"/>
                <w:szCs w:val="21"/>
              </w:rPr>
              <w:t>搬运实施方案</w:t>
            </w:r>
          </w:p>
        </w:tc>
        <w:tc>
          <w:tcPr>
            <w:tcW w:w="4536" w:type="dxa"/>
            <w:shd w:val="clear" w:color="auto" w:fill="FFFFFF"/>
            <w:tcMar>
              <w:top w:w="150" w:type="dxa"/>
              <w:left w:w="240" w:type="dxa"/>
              <w:bottom w:w="150" w:type="dxa"/>
              <w:right w:w="240" w:type="dxa"/>
            </w:tcMar>
            <w:vAlign w:val="center"/>
          </w:tcPr>
          <w:p w14:paraId="2996E9F2">
            <w:pPr>
              <w:widowControl/>
              <w:jc w:val="left"/>
              <w:rPr>
                <w:rFonts w:ascii="仿宋" w:hAnsi="仿宋" w:eastAsia="仿宋" w:cs="Segoe UI"/>
                <w:color w:val="0F1115"/>
                <w:kern w:val="0"/>
                <w:szCs w:val="21"/>
              </w:rPr>
            </w:pPr>
            <w:r>
              <w:rPr>
                <w:rFonts w:ascii="仿宋" w:hAnsi="仿宋" w:eastAsia="仿宋" w:cs="Segoe UI"/>
                <w:color w:val="0F1115"/>
                <w:kern w:val="0"/>
                <w:szCs w:val="21"/>
              </w:rPr>
              <w:t>根据投标人提供的搬运方案（含时间节点、车辆调度、人员配置、应急预案、货物保护措施等）进行综合评定：优秀（</w:t>
            </w:r>
            <w:r>
              <w:rPr>
                <w:rFonts w:hint="eastAsia" w:ascii="仿宋" w:hAnsi="仿宋" w:eastAsia="仿宋" w:cs="Segoe UI"/>
                <w:color w:val="0F1115"/>
                <w:kern w:val="0"/>
                <w:szCs w:val="21"/>
              </w:rPr>
              <w:t>10</w:t>
            </w:r>
            <w:r>
              <w:rPr>
                <w:rFonts w:ascii="仿宋" w:hAnsi="仿宋" w:eastAsia="仿宋" w:cs="Segoe UI"/>
                <w:color w:val="0F1115"/>
                <w:kern w:val="0"/>
                <w:szCs w:val="21"/>
              </w:rPr>
              <w:t>分）：方案详尽、科学，完全符合国家《仓储场所消防安全管理通则》要求，时间安排确保在2026年4月9日前完成，人员持证、车辆投保、全程录像、交接手续清晰，且能提供过往类似规模搬运项目的成功案例或模拟演练记录作为佐证；良好（</w:t>
            </w:r>
            <w:r>
              <w:rPr>
                <w:rFonts w:hint="eastAsia" w:ascii="仿宋" w:hAnsi="仿宋" w:eastAsia="仿宋" w:cs="Segoe UI"/>
                <w:color w:val="0F1115"/>
                <w:kern w:val="0"/>
                <w:szCs w:val="21"/>
              </w:rPr>
              <w:t>5</w:t>
            </w:r>
            <w:r>
              <w:rPr>
                <w:rFonts w:ascii="仿宋" w:hAnsi="仿宋" w:eastAsia="仿宋" w:cs="Segoe UI"/>
                <w:color w:val="0F1115"/>
                <w:kern w:val="0"/>
                <w:szCs w:val="21"/>
              </w:rPr>
              <w:t>分）：方案较完整，基本满足要求，但有少量细节不明确；一般（</w:t>
            </w:r>
            <w:r>
              <w:rPr>
                <w:rFonts w:hint="eastAsia" w:ascii="仿宋" w:hAnsi="仿宋" w:eastAsia="仿宋" w:cs="Segoe UI"/>
                <w:color w:val="0F1115"/>
                <w:kern w:val="0"/>
                <w:szCs w:val="21"/>
              </w:rPr>
              <w:t>3</w:t>
            </w:r>
            <w:r>
              <w:rPr>
                <w:rFonts w:ascii="仿宋" w:hAnsi="仿宋" w:eastAsia="仿宋" w:cs="Segoe UI"/>
                <w:color w:val="0F1115"/>
                <w:kern w:val="0"/>
                <w:szCs w:val="21"/>
              </w:rPr>
              <w:t>分）：方案框架存在，但关键环节缺失或可行性较差；较差（</w:t>
            </w:r>
            <w:r>
              <w:rPr>
                <w:rFonts w:hint="eastAsia" w:ascii="仿宋" w:hAnsi="仿宋" w:eastAsia="仿宋" w:cs="Segoe UI"/>
                <w:color w:val="0F1115"/>
                <w:kern w:val="0"/>
                <w:szCs w:val="21"/>
              </w:rPr>
              <w:t>1</w:t>
            </w:r>
            <w:r>
              <w:rPr>
                <w:rFonts w:ascii="仿宋" w:hAnsi="仿宋" w:eastAsia="仿宋" w:cs="Segoe UI"/>
                <w:color w:val="0F1115"/>
                <w:kern w:val="0"/>
                <w:szCs w:val="21"/>
              </w:rPr>
              <w:t>分）：未提供搬运方案或方案完全不可行。</w:t>
            </w:r>
          </w:p>
        </w:tc>
        <w:tc>
          <w:tcPr>
            <w:tcW w:w="850" w:type="dxa"/>
            <w:shd w:val="clear" w:color="auto" w:fill="FFFFFF"/>
            <w:tcMar>
              <w:top w:w="150" w:type="dxa"/>
              <w:left w:w="240" w:type="dxa"/>
              <w:bottom w:w="150" w:type="dxa"/>
              <w:right w:w="240" w:type="dxa"/>
            </w:tcMar>
            <w:vAlign w:val="center"/>
          </w:tcPr>
          <w:p w14:paraId="4D706A82">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10</w:t>
            </w:r>
          </w:p>
        </w:tc>
        <w:tc>
          <w:tcPr>
            <w:tcW w:w="1007" w:type="dxa"/>
            <w:shd w:val="clear" w:color="auto" w:fill="FFFFFF"/>
            <w:tcMar>
              <w:top w:w="150" w:type="dxa"/>
              <w:left w:w="240" w:type="dxa"/>
              <w:bottom w:w="150" w:type="dxa"/>
              <w:right w:w="0" w:type="dxa"/>
            </w:tcMar>
            <w:vAlign w:val="center"/>
          </w:tcPr>
          <w:p w14:paraId="3DAA37B1">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76CBBE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0EBCB488">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04231A37">
            <w:pPr>
              <w:widowControl/>
              <w:jc w:val="left"/>
              <w:rPr>
                <w:rFonts w:ascii="仿宋" w:hAnsi="仿宋" w:eastAsia="仿宋" w:cs="Segoe UI"/>
                <w:color w:val="0F1115"/>
                <w:kern w:val="0"/>
                <w:szCs w:val="21"/>
              </w:rPr>
            </w:pPr>
            <w:r>
              <w:rPr>
                <w:rFonts w:ascii="仿宋" w:hAnsi="仿宋" w:eastAsia="仿宋" w:cs="Segoe UI"/>
                <w:color w:val="0F1115"/>
                <w:kern w:val="0"/>
                <w:szCs w:val="21"/>
              </w:rPr>
              <w:t>日常管理方案</w:t>
            </w:r>
          </w:p>
        </w:tc>
        <w:tc>
          <w:tcPr>
            <w:tcW w:w="4536" w:type="dxa"/>
            <w:shd w:val="clear" w:color="auto" w:fill="FFFFFF"/>
            <w:tcMar>
              <w:top w:w="150" w:type="dxa"/>
              <w:left w:w="240" w:type="dxa"/>
              <w:bottom w:w="150" w:type="dxa"/>
              <w:right w:w="240" w:type="dxa"/>
            </w:tcMar>
            <w:vAlign w:val="center"/>
          </w:tcPr>
          <w:p w14:paraId="4E3F41B4">
            <w:pPr>
              <w:widowControl/>
              <w:jc w:val="left"/>
              <w:rPr>
                <w:rFonts w:ascii="仿宋" w:hAnsi="仿宋" w:eastAsia="仿宋" w:cs="Segoe UI"/>
                <w:color w:val="0F1115"/>
                <w:kern w:val="0"/>
                <w:szCs w:val="21"/>
              </w:rPr>
            </w:pPr>
            <w:r>
              <w:rPr>
                <w:rFonts w:ascii="仿宋" w:hAnsi="仿宋" w:eastAsia="仿宋" w:cs="Segoe UI"/>
                <w:color w:val="0F1115"/>
                <w:kern w:val="0"/>
                <w:szCs w:val="21"/>
              </w:rPr>
              <w:t>包括24小时看守、人员安全培训、配合采购人随时进出、库房维护维修、防涝防潮措施等：优秀（</w:t>
            </w:r>
            <w:r>
              <w:rPr>
                <w:rFonts w:hint="eastAsia" w:ascii="仿宋" w:hAnsi="仿宋" w:eastAsia="仿宋" w:cs="Segoe UI"/>
                <w:color w:val="0F1115"/>
                <w:kern w:val="0"/>
                <w:szCs w:val="21"/>
              </w:rPr>
              <w:t>10</w:t>
            </w:r>
            <w:r>
              <w:rPr>
                <w:rFonts w:ascii="仿宋" w:hAnsi="仿宋" w:eastAsia="仿宋" w:cs="Segoe UI"/>
                <w:color w:val="0F1115"/>
                <w:kern w:val="0"/>
                <w:szCs w:val="21"/>
              </w:rPr>
              <w:t>分）：措施全面具体，可操作性强；良好（</w:t>
            </w:r>
            <w:r>
              <w:rPr>
                <w:rFonts w:hint="eastAsia" w:ascii="仿宋" w:hAnsi="仿宋" w:eastAsia="仿宋" w:cs="Segoe UI"/>
                <w:color w:val="0F1115"/>
                <w:kern w:val="0"/>
                <w:szCs w:val="21"/>
              </w:rPr>
              <w:t>8</w:t>
            </w:r>
            <w:r>
              <w:rPr>
                <w:rFonts w:ascii="仿宋" w:hAnsi="仿宋" w:eastAsia="仿宋" w:cs="Segoe UI"/>
                <w:color w:val="0F1115"/>
                <w:kern w:val="0"/>
                <w:szCs w:val="21"/>
              </w:rPr>
              <w:t>分）：措施较全面，有基本保障；一般（</w:t>
            </w:r>
            <w:r>
              <w:rPr>
                <w:rFonts w:hint="eastAsia" w:ascii="仿宋" w:hAnsi="仿宋" w:eastAsia="仿宋" w:cs="Segoe UI"/>
                <w:color w:val="0F1115"/>
                <w:kern w:val="0"/>
                <w:szCs w:val="21"/>
              </w:rPr>
              <w:t>3</w:t>
            </w:r>
            <w:r>
              <w:rPr>
                <w:rFonts w:ascii="仿宋" w:hAnsi="仿宋" w:eastAsia="仿宋" w:cs="Segoe UI"/>
                <w:color w:val="0F1115"/>
                <w:kern w:val="0"/>
                <w:szCs w:val="21"/>
              </w:rPr>
              <w:t>分）：措施笼统，执行性一般；较差（</w:t>
            </w:r>
            <w:r>
              <w:rPr>
                <w:rFonts w:hint="eastAsia" w:ascii="仿宋" w:hAnsi="仿宋" w:eastAsia="仿宋" w:cs="Segoe UI"/>
                <w:color w:val="0F1115"/>
                <w:kern w:val="0"/>
                <w:szCs w:val="21"/>
              </w:rPr>
              <w:t>1</w:t>
            </w:r>
            <w:r>
              <w:rPr>
                <w:rFonts w:ascii="仿宋" w:hAnsi="仿宋" w:eastAsia="仿宋" w:cs="Segoe UI"/>
                <w:color w:val="0F1115"/>
                <w:kern w:val="0"/>
                <w:szCs w:val="21"/>
              </w:rPr>
              <w:t>分）：未提供或明显不符合要求。</w:t>
            </w:r>
          </w:p>
        </w:tc>
        <w:tc>
          <w:tcPr>
            <w:tcW w:w="850" w:type="dxa"/>
            <w:shd w:val="clear" w:color="auto" w:fill="FFFFFF"/>
            <w:tcMar>
              <w:top w:w="150" w:type="dxa"/>
              <w:left w:w="240" w:type="dxa"/>
              <w:bottom w:w="150" w:type="dxa"/>
              <w:right w:w="240" w:type="dxa"/>
            </w:tcMar>
            <w:vAlign w:val="center"/>
          </w:tcPr>
          <w:p w14:paraId="6686C760">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10</w:t>
            </w:r>
          </w:p>
        </w:tc>
        <w:tc>
          <w:tcPr>
            <w:tcW w:w="1007" w:type="dxa"/>
            <w:shd w:val="clear" w:color="auto" w:fill="FFFFFF"/>
            <w:tcMar>
              <w:top w:w="150" w:type="dxa"/>
              <w:left w:w="240" w:type="dxa"/>
              <w:bottom w:w="150" w:type="dxa"/>
              <w:right w:w="0" w:type="dxa"/>
            </w:tcMar>
            <w:vAlign w:val="center"/>
          </w:tcPr>
          <w:p w14:paraId="652FC1EF">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02EB2C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53E492A5">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56041B2D">
            <w:pPr>
              <w:widowControl/>
              <w:jc w:val="left"/>
              <w:rPr>
                <w:rFonts w:ascii="仿宋" w:hAnsi="仿宋" w:eastAsia="仿宋" w:cs="Segoe UI"/>
                <w:color w:val="0F1115"/>
                <w:kern w:val="0"/>
                <w:szCs w:val="21"/>
              </w:rPr>
            </w:pPr>
            <w:r>
              <w:rPr>
                <w:rFonts w:ascii="仿宋" w:hAnsi="仿宋" w:eastAsia="仿宋" w:cs="Segoe UI"/>
                <w:color w:val="0F1115"/>
                <w:kern w:val="0"/>
                <w:szCs w:val="21"/>
              </w:rPr>
              <w:t>应对拆迁承诺</w:t>
            </w:r>
          </w:p>
        </w:tc>
        <w:tc>
          <w:tcPr>
            <w:tcW w:w="4536" w:type="dxa"/>
            <w:shd w:val="clear" w:color="auto" w:fill="FFFFFF"/>
            <w:tcMar>
              <w:top w:w="150" w:type="dxa"/>
              <w:left w:w="240" w:type="dxa"/>
              <w:bottom w:w="150" w:type="dxa"/>
              <w:right w:w="240" w:type="dxa"/>
            </w:tcMar>
            <w:vAlign w:val="center"/>
          </w:tcPr>
          <w:p w14:paraId="7BDBB4B2">
            <w:pPr>
              <w:widowControl/>
              <w:jc w:val="left"/>
              <w:rPr>
                <w:rFonts w:ascii="仿宋" w:hAnsi="仿宋" w:eastAsia="仿宋" w:cs="Segoe UI"/>
                <w:color w:val="0F1115"/>
                <w:kern w:val="0"/>
                <w:szCs w:val="21"/>
              </w:rPr>
            </w:pPr>
            <w:r>
              <w:rPr>
                <w:rFonts w:ascii="仿宋" w:hAnsi="仿宋" w:eastAsia="仿宋" w:cs="Segoe UI"/>
                <w:color w:val="0F1115"/>
                <w:kern w:val="0"/>
                <w:szCs w:val="21"/>
              </w:rPr>
              <w:t>承诺如遇政府政策导致库房拆迁，中标人负责找到经采购人同意的合适库房，并承担搬运费及新库房租赁费等一切费用，得</w:t>
            </w:r>
            <w:r>
              <w:rPr>
                <w:rFonts w:hint="eastAsia" w:ascii="仿宋" w:hAnsi="仿宋" w:eastAsia="仿宋" w:cs="Segoe UI"/>
                <w:color w:val="0F1115"/>
                <w:kern w:val="0"/>
                <w:szCs w:val="21"/>
              </w:rPr>
              <w:t>10</w:t>
            </w:r>
            <w:r>
              <w:rPr>
                <w:rFonts w:ascii="仿宋" w:hAnsi="仿宋" w:eastAsia="仿宋" w:cs="Segoe UI"/>
                <w:color w:val="0F1115"/>
                <w:kern w:val="0"/>
                <w:szCs w:val="21"/>
              </w:rPr>
              <w:t>分；仅承诺负责寻找但未明确承担费用得</w:t>
            </w:r>
            <w:r>
              <w:rPr>
                <w:rFonts w:hint="eastAsia" w:ascii="仿宋" w:hAnsi="仿宋" w:eastAsia="仿宋" w:cs="Segoe UI"/>
                <w:color w:val="0F1115"/>
                <w:kern w:val="0"/>
                <w:szCs w:val="21"/>
              </w:rPr>
              <w:t>5</w:t>
            </w:r>
            <w:r>
              <w:rPr>
                <w:rFonts w:ascii="仿宋" w:hAnsi="仿宋" w:eastAsia="仿宋" w:cs="Segoe UI"/>
                <w:color w:val="0F1115"/>
                <w:kern w:val="0"/>
                <w:szCs w:val="21"/>
              </w:rPr>
              <w:t>分；无承诺得</w:t>
            </w:r>
            <w:r>
              <w:rPr>
                <w:rFonts w:hint="eastAsia" w:ascii="仿宋" w:hAnsi="仿宋" w:eastAsia="仿宋" w:cs="Segoe UI"/>
                <w:color w:val="0F1115"/>
                <w:kern w:val="0"/>
                <w:szCs w:val="21"/>
              </w:rPr>
              <w:t>0</w:t>
            </w:r>
            <w:r>
              <w:rPr>
                <w:rFonts w:ascii="仿宋" w:hAnsi="仿宋" w:eastAsia="仿宋" w:cs="Segoe UI"/>
                <w:color w:val="0F1115"/>
                <w:kern w:val="0"/>
                <w:szCs w:val="21"/>
              </w:rPr>
              <w:t>分。</w:t>
            </w:r>
          </w:p>
        </w:tc>
        <w:tc>
          <w:tcPr>
            <w:tcW w:w="850" w:type="dxa"/>
            <w:shd w:val="clear" w:color="auto" w:fill="FFFFFF"/>
            <w:tcMar>
              <w:top w:w="150" w:type="dxa"/>
              <w:left w:w="240" w:type="dxa"/>
              <w:bottom w:w="150" w:type="dxa"/>
              <w:right w:w="240" w:type="dxa"/>
            </w:tcMar>
            <w:vAlign w:val="center"/>
          </w:tcPr>
          <w:p w14:paraId="2AFCA667">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10</w:t>
            </w:r>
          </w:p>
        </w:tc>
        <w:tc>
          <w:tcPr>
            <w:tcW w:w="1007" w:type="dxa"/>
            <w:shd w:val="clear" w:color="auto" w:fill="FFFFFF"/>
            <w:tcMar>
              <w:top w:w="150" w:type="dxa"/>
              <w:left w:w="240" w:type="dxa"/>
              <w:bottom w:w="150" w:type="dxa"/>
              <w:right w:w="0" w:type="dxa"/>
            </w:tcMar>
            <w:vAlign w:val="center"/>
          </w:tcPr>
          <w:p w14:paraId="70B6DF49">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039BEA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7D2C391C">
            <w:pPr>
              <w:widowControl/>
              <w:jc w:val="left"/>
              <w:rPr>
                <w:rFonts w:ascii="仿宋" w:hAnsi="仿宋" w:eastAsia="仿宋" w:cs="Segoe UI"/>
                <w:color w:val="0F1115"/>
                <w:kern w:val="0"/>
                <w:szCs w:val="21"/>
              </w:rPr>
            </w:pPr>
            <w:r>
              <w:rPr>
                <w:rFonts w:ascii="仿宋" w:hAnsi="仿宋" w:eastAsia="仿宋" w:cs="Segoe UI"/>
                <w:color w:val="0F1115"/>
                <w:kern w:val="0"/>
                <w:szCs w:val="21"/>
              </w:rPr>
              <w:t>商务部分</w:t>
            </w:r>
            <w:r>
              <w:rPr>
                <w:rFonts w:ascii="仿宋" w:hAnsi="仿宋" w:eastAsia="仿宋" w:cs="宋体"/>
                <w:bCs/>
                <w:kern w:val="0"/>
                <w:szCs w:val="21"/>
              </w:rPr>
              <w:t>（</w:t>
            </w:r>
            <w:r>
              <w:rPr>
                <w:rFonts w:hint="eastAsia" w:ascii="仿宋" w:hAnsi="仿宋" w:eastAsia="仿宋" w:cs="宋体"/>
                <w:bCs/>
                <w:kern w:val="0"/>
                <w:szCs w:val="21"/>
              </w:rPr>
              <w:t>20</w:t>
            </w:r>
            <w:r>
              <w:rPr>
                <w:rFonts w:ascii="仿宋" w:hAnsi="仿宋" w:eastAsia="仿宋" w:cs="宋体"/>
                <w:bCs/>
                <w:kern w:val="0"/>
                <w:szCs w:val="21"/>
              </w:rPr>
              <w:t>分）</w:t>
            </w:r>
          </w:p>
        </w:tc>
        <w:tc>
          <w:tcPr>
            <w:tcW w:w="993" w:type="dxa"/>
            <w:shd w:val="clear" w:color="auto" w:fill="FFFFFF"/>
            <w:tcMar>
              <w:top w:w="150" w:type="dxa"/>
              <w:left w:w="240" w:type="dxa"/>
              <w:bottom w:w="150" w:type="dxa"/>
              <w:right w:w="240" w:type="dxa"/>
            </w:tcMar>
            <w:vAlign w:val="center"/>
          </w:tcPr>
          <w:p w14:paraId="6EB49389">
            <w:pPr>
              <w:widowControl/>
              <w:jc w:val="left"/>
              <w:rPr>
                <w:rFonts w:ascii="仿宋" w:hAnsi="仿宋" w:eastAsia="仿宋" w:cs="Segoe UI"/>
                <w:color w:val="0F1115"/>
                <w:kern w:val="0"/>
                <w:szCs w:val="21"/>
              </w:rPr>
            </w:pPr>
            <w:r>
              <w:rPr>
                <w:rFonts w:ascii="仿宋" w:hAnsi="仿宋" w:eastAsia="仿宋" w:cs="Segoe UI"/>
                <w:color w:val="0F1115"/>
                <w:kern w:val="0"/>
                <w:szCs w:val="21"/>
              </w:rPr>
              <w:t>产权证明完整性</w:t>
            </w:r>
          </w:p>
        </w:tc>
        <w:tc>
          <w:tcPr>
            <w:tcW w:w="4536" w:type="dxa"/>
            <w:shd w:val="clear" w:color="auto" w:fill="FFFFFF"/>
            <w:tcMar>
              <w:top w:w="150" w:type="dxa"/>
              <w:left w:w="240" w:type="dxa"/>
              <w:bottom w:w="150" w:type="dxa"/>
              <w:right w:w="240" w:type="dxa"/>
            </w:tcMar>
            <w:vAlign w:val="center"/>
          </w:tcPr>
          <w:p w14:paraId="769B915F">
            <w:pPr>
              <w:widowControl/>
              <w:jc w:val="left"/>
              <w:rPr>
                <w:rFonts w:ascii="仿宋" w:hAnsi="仿宋" w:eastAsia="仿宋" w:cs="Segoe UI"/>
                <w:color w:val="0F1115"/>
                <w:kern w:val="0"/>
                <w:szCs w:val="21"/>
              </w:rPr>
            </w:pPr>
            <w:r>
              <w:rPr>
                <w:rFonts w:ascii="仿宋" w:hAnsi="仿宋" w:eastAsia="仿宋" w:cs="Segoe UI"/>
                <w:color w:val="0F1115"/>
                <w:kern w:val="0"/>
                <w:szCs w:val="21"/>
              </w:rPr>
              <w:t>提供清晰的产权证明（房产证）或长期租赁协议（剩余租期不低于一年，且出租方同意用于本项目的证明）得</w:t>
            </w:r>
            <w:r>
              <w:rPr>
                <w:rFonts w:hint="eastAsia" w:ascii="仿宋" w:hAnsi="仿宋" w:eastAsia="仿宋" w:cs="Segoe UI"/>
                <w:color w:val="0F1115"/>
                <w:kern w:val="0"/>
                <w:szCs w:val="21"/>
              </w:rPr>
              <w:t>10</w:t>
            </w:r>
            <w:r>
              <w:rPr>
                <w:rFonts w:ascii="仿宋" w:hAnsi="仿宋" w:eastAsia="仿宋" w:cs="Segoe UI"/>
                <w:color w:val="0F1115"/>
                <w:kern w:val="0"/>
                <w:szCs w:val="21"/>
              </w:rPr>
              <w:t>分；仅提供租赁意向书或证明文件不完整得</w:t>
            </w:r>
            <w:r>
              <w:rPr>
                <w:rFonts w:hint="eastAsia" w:ascii="仿宋" w:hAnsi="仿宋" w:eastAsia="仿宋" w:cs="Segoe UI"/>
                <w:color w:val="0F1115"/>
                <w:kern w:val="0"/>
                <w:szCs w:val="21"/>
              </w:rPr>
              <w:t>5</w:t>
            </w:r>
            <w:r>
              <w:rPr>
                <w:rFonts w:ascii="仿宋" w:hAnsi="仿宋" w:eastAsia="仿宋" w:cs="Segoe UI"/>
                <w:color w:val="0F1115"/>
                <w:kern w:val="0"/>
                <w:szCs w:val="21"/>
              </w:rPr>
              <w:t>分；无法提供有效证明得</w:t>
            </w:r>
            <w:r>
              <w:rPr>
                <w:rFonts w:hint="eastAsia" w:ascii="仿宋" w:hAnsi="仿宋" w:eastAsia="仿宋" w:cs="Segoe UI"/>
                <w:color w:val="0F1115"/>
                <w:kern w:val="0"/>
                <w:szCs w:val="21"/>
              </w:rPr>
              <w:t>0</w:t>
            </w:r>
            <w:r>
              <w:rPr>
                <w:rFonts w:ascii="仿宋" w:hAnsi="仿宋" w:eastAsia="仿宋" w:cs="Segoe UI"/>
                <w:color w:val="0F1115"/>
                <w:kern w:val="0"/>
                <w:szCs w:val="21"/>
              </w:rPr>
              <w:t>分。</w:t>
            </w:r>
          </w:p>
        </w:tc>
        <w:tc>
          <w:tcPr>
            <w:tcW w:w="850" w:type="dxa"/>
            <w:shd w:val="clear" w:color="auto" w:fill="FFFFFF"/>
            <w:tcMar>
              <w:top w:w="150" w:type="dxa"/>
              <w:left w:w="240" w:type="dxa"/>
              <w:bottom w:w="150" w:type="dxa"/>
              <w:right w:w="240" w:type="dxa"/>
            </w:tcMar>
            <w:vAlign w:val="center"/>
          </w:tcPr>
          <w:p w14:paraId="5B651007">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10</w:t>
            </w:r>
          </w:p>
        </w:tc>
        <w:tc>
          <w:tcPr>
            <w:tcW w:w="1007" w:type="dxa"/>
            <w:shd w:val="clear" w:color="auto" w:fill="FFFFFF"/>
            <w:tcMar>
              <w:top w:w="150" w:type="dxa"/>
              <w:left w:w="240" w:type="dxa"/>
              <w:bottom w:w="150" w:type="dxa"/>
              <w:right w:w="0" w:type="dxa"/>
            </w:tcMar>
            <w:vAlign w:val="center"/>
          </w:tcPr>
          <w:p w14:paraId="438C3B23">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1AC01A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3C1CBB66">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4DA8F995">
            <w:pPr>
              <w:widowControl/>
              <w:jc w:val="left"/>
              <w:rPr>
                <w:rFonts w:ascii="仿宋" w:hAnsi="仿宋" w:eastAsia="仿宋" w:cs="Segoe UI"/>
                <w:color w:val="0F1115"/>
                <w:kern w:val="0"/>
                <w:szCs w:val="21"/>
              </w:rPr>
            </w:pPr>
            <w:r>
              <w:rPr>
                <w:rFonts w:ascii="仿宋" w:hAnsi="仿宋" w:eastAsia="仿宋" w:cs="Segoe UI"/>
                <w:color w:val="0F1115"/>
                <w:kern w:val="0"/>
                <w:szCs w:val="21"/>
              </w:rPr>
              <w:t>信誉及文件质量</w:t>
            </w:r>
          </w:p>
        </w:tc>
        <w:tc>
          <w:tcPr>
            <w:tcW w:w="4536" w:type="dxa"/>
            <w:shd w:val="clear" w:color="auto" w:fill="FFFFFF"/>
            <w:tcMar>
              <w:top w:w="150" w:type="dxa"/>
              <w:left w:w="240" w:type="dxa"/>
              <w:bottom w:w="150" w:type="dxa"/>
              <w:right w:w="240" w:type="dxa"/>
            </w:tcMar>
            <w:vAlign w:val="center"/>
          </w:tcPr>
          <w:p w14:paraId="7B47F3FA">
            <w:pPr>
              <w:widowControl/>
              <w:jc w:val="left"/>
              <w:rPr>
                <w:rFonts w:ascii="仿宋" w:hAnsi="仿宋" w:eastAsia="仿宋" w:cs="Segoe UI"/>
                <w:color w:val="0F1115"/>
                <w:kern w:val="0"/>
                <w:szCs w:val="21"/>
              </w:rPr>
            </w:pPr>
            <w:r>
              <w:rPr>
                <w:rFonts w:ascii="仿宋" w:hAnsi="仿宋" w:eastAsia="仿宋" w:cs="Segoe UI"/>
                <w:color w:val="0F1115"/>
                <w:kern w:val="0"/>
                <w:szCs w:val="21"/>
              </w:rPr>
              <w:t>根据“信用中国”“中国政府采购网”查询结果（无不良记录）、参选文件编制规范程度、承诺书完整性等进行综合评定：优秀（</w:t>
            </w:r>
            <w:r>
              <w:rPr>
                <w:rFonts w:hint="eastAsia" w:ascii="仿宋" w:hAnsi="仿宋" w:eastAsia="仿宋" w:cs="Segoe UI"/>
                <w:color w:val="0F1115"/>
                <w:kern w:val="0"/>
                <w:szCs w:val="21"/>
              </w:rPr>
              <w:t>10</w:t>
            </w:r>
            <w:r>
              <w:rPr>
                <w:rFonts w:ascii="仿宋" w:hAnsi="仿宋" w:eastAsia="仿宋" w:cs="Segoe UI"/>
                <w:color w:val="0F1115"/>
                <w:kern w:val="0"/>
                <w:szCs w:val="21"/>
              </w:rPr>
              <w:t>分）：信誉良好，文件编制精美、无错误；良好（</w:t>
            </w:r>
            <w:r>
              <w:rPr>
                <w:rFonts w:hint="eastAsia" w:ascii="仿宋" w:hAnsi="仿宋" w:eastAsia="仿宋" w:cs="Segoe UI"/>
                <w:color w:val="0F1115"/>
                <w:kern w:val="0"/>
                <w:szCs w:val="21"/>
              </w:rPr>
              <w:t>5</w:t>
            </w:r>
            <w:r>
              <w:rPr>
                <w:rFonts w:ascii="仿宋" w:hAnsi="仿宋" w:eastAsia="仿宋" w:cs="Segoe UI"/>
                <w:color w:val="0F1115"/>
                <w:kern w:val="0"/>
                <w:szCs w:val="21"/>
              </w:rPr>
              <w:t>分）：信誉良好，文件基本规范；一般（</w:t>
            </w:r>
            <w:r>
              <w:rPr>
                <w:rFonts w:hint="eastAsia" w:ascii="仿宋" w:hAnsi="仿宋" w:eastAsia="仿宋" w:cs="Segoe UI"/>
                <w:color w:val="0F1115"/>
                <w:kern w:val="0"/>
                <w:szCs w:val="21"/>
              </w:rPr>
              <w:t>1</w:t>
            </w:r>
            <w:r>
              <w:rPr>
                <w:rFonts w:ascii="仿宋" w:hAnsi="仿宋" w:eastAsia="仿宋" w:cs="Segoe UI"/>
                <w:color w:val="0F1115"/>
                <w:kern w:val="0"/>
                <w:szCs w:val="21"/>
              </w:rPr>
              <w:t>分）：存在轻微信誉瑕疵或文件编制有少量疏漏。</w:t>
            </w:r>
          </w:p>
        </w:tc>
        <w:tc>
          <w:tcPr>
            <w:tcW w:w="850" w:type="dxa"/>
            <w:shd w:val="clear" w:color="auto" w:fill="FFFFFF"/>
            <w:tcMar>
              <w:top w:w="150" w:type="dxa"/>
              <w:left w:w="240" w:type="dxa"/>
              <w:bottom w:w="150" w:type="dxa"/>
              <w:right w:w="240" w:type="dxa"/>
            </w:tcMar>
            <w:vAlign w:val="center"/>
          </w:tcPr>
          <w:p w14:paraId="641315D3">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10</w:t>
            </w:r>
          </w:p>
        </w:tc>
        <w:tc>
          <w:tcPr>
            <w:tcW w:w="1007" w:type="dxa"/>
            <w:shd w:val="clear" w:color="auto" w:fill="FFFFFF"/>
            <w:tcMar>
              <w:top w:w="150" w:type="dxa"/>
              <w:left w:w="240" w:type="dxa"/>
              <w:bottom w:w="150" w:type="dxa"/>
              <w:right w:w="0" w:type="dxa"/>
            </w:tcMar>
            <w:vAlign w:val="center"/>
          </w:tcPr>
          <w:p w14:paraId="3F170A8D">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32EC37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35DA7193">
            <w:pPr>
              <w:widowControl/>
              <w:jc w:val="left"/>
              <w:rPr>
                <w:rFonts w:ascii="仿宋" w:hAnsi="仿宋" w:eastAsia="仿宋" w:cs="Segoe UI"/>
                <w:color w:val="0F1115"/>
                <w:kern w:val="0"/>
                <w:szCs w:val="21"/>
              </w:rPr>
            </w:pPr>
            <w:r>
              <w:rPr>
                <w:rFonts w:ascii="仿宋" w:hAnsi="仿宋" w:eastAsia="仿宋" w:cs="Segoe UI"/>
                <w:color w:val="0F1115"/>
                <w:kern w:val="0"/>
                <w:szCs w:val="21"/>
              </w:rPr>
              <w:t>额外承诺</w:t>
            </w:r>
            <w:r>
              <w:rPr>
                <w:rFonts w:ascii="仿宋" w:hAnsi="仿宋" w:eastAsia="仿宋" w:cs="宋体"/>
                <w:bCs/>
                <w:kern w:val="0"/>
                <w:szCs w:val="21"/>
              </w:rPr>
              <w:t>（</w:t>
            </w:r>
            <w:r>
              <w:rPr>
                <w:rFonts w:hint="eastAsia" w:ascii="仿宋" w:hAnsi="仿宋" w:eastAsia="仿宋" w:cs="宋体"/>
                <w:bCs/>
                <w:kern w:val="0"/>
                <w:szCs w:val="21"/>
              </w:rPr>
              <w:t>10</w:t>
            </w:r>
            <w:r>
              <w:rPr>
                <w:rFonts w:ascii="仿宋" w:hAnsi="仿宋" w:eastAsia="仿宋" w:cs="宋体"/>
                <w:bCs/>
                <w:kern w:val="0"/>
                <w:szCs w:val="21"/>
              </w:rPr>
              <w:t>分）</w:t>
            </w:r>
          </w:p>
        </w:tc>
        <w:tc>
          <w:tcPr>
            <w:tcW w:w="993" w:type="dxa"/>
            <w:shd w:val="clear" w:color="auto" w:fill="FFFFFF"/>
            <w:tcMar>
              <w:top w:w="150" w:type="dxa"/>
              <w:left w:w="240" w:type="dxa"/>
              <w:bottom w:w="150" w:type="dxa"/>
              <w:right w:w="240" w:type="dxa"/>
            </w:tcMar>
            <w:vAlign w:val="center"/>
          </w:tcPr>
          <w:p w14:paraId="074B7A88">
            <w:pPr>
              <w:widowControl/>
              <w:jc w:val="left"/>
              <w:rPr>
                <w:rFonts w:ascii="仿宋" w:hAnsi="仿宋" w:eastAsia="仿宋" w:cs="Segoe UI"/>
                <w:color w:val="0F1115"/>
                <w:kern w:val="0"/>
                <w:szCs w:val="21"/>
              </w:rPr>
            </w:pPr>
            <w:r>
              <w:rPr>
                <w:rFonts w:ascii="仿宋" w:hAnsi="仿宋" w:eastAsia="仿宋" w:cs="Segoe UI"/>
                <w:color w:val="0F1115"/>
                <w:kern w:val="0"/>
                <w:szCs w:val="21"/>
              </w:rPr>
              <w:t>租金稳定性</w:t>
            </w:r>
          </w:p>
        </w:tc>
        <w:tc>
          <w:tcPr>
            <w:tcW w:w="4536" w:type="dxa"/>
            <w:shd w:val="clear" w:color="auto" w:fill="FFFFFF"/>
            <w:tcMar>
              <w:top w:w="150" w:type="dxa"/>
              <w:left w:w="240" w:type="dxa"/>
              <w:bottom w:w="150" w:type="dxa"/>
              <w:right w:w="240" w:type="dxa"/>
            </w:tcMar>
            <w:vAlign w:val="center"/>
          </w:tcPr>
          <w:p w14:paraId="23CC8671">
            <w:pPr>
              <w:widowControl/>
              <w:jc w:val="left"/>
              <w:rPr>
                <w:rFonts w:ascii="仿宋" w:hAnsi="仿宋" w:eastAsia="仿宋" w:cs="Segoe UI"/>
                <w:color w:val="0F1115"/>
                <w:kern w:val="0"/>
                <w:szCs w:val="21"/>
              </w:rPr>
            </w:pPr>
            <w:r>
              <w:rPr>
                <w:rFonts w:ascii="仿宋" w:hAnsi="仿宋" w:eastAsia="仿宋" w:cs="Segoe UI"/>
                <w:color w:val="0F1115"/>
                <w:kern w:val="0"/>
                <w:szCs w:val="21"/>
              </w:rPr>
              <w:t>承诺在合同期内租金不变，且无任何额外追加费用，得</w:t>
            </w:r>
            <w:r>
              <w:rPr>
                <w:rFonts w:hint="eastAsia" w:ascii="仿宋" w:hAnsi="仿宋" w:eastAsia="仿宋" w:cs="Segoe UI"/>
                <w:color w:val="0F1115"/>
                <w:kern w:val="0"/>
                <w:szCs w:val="21"/>
              </w:rPr>
              <w:t>2</w:t>
            </w:r>
            <w:r>
              <w:rPr>
                <w:rFonts w:ascii="仿宋" w:hAnsi="仿宋" w:eastAsia="仿宋" w:cs="Segoe UI"/>
                <w:color w:val="0F1115"/>
                <w:kern w:val="0"/>
                <w:szCs w:val="21"/>
              </w:rPr>
              <w:t>分。</w:t>
            </w:r>
          </w:p>
        </w:tc>
        <w:tc>
          <w:tcPr>
            <w:tcW w:w="850" w:type="dxa"/>
            <w:shd w:val="clear" w:color="auto" w:fill="FFFFFF"/>
            <w:tcMar>
              <w:top w:w="150" w:type="dxa"/>
              <w:left w:w="240" w:type="dxa"/>
              <w:bottom w:w="150" w:type="dxa"/>
              <w:right w:w="240" w:type="dxa"/>
            </w:tcMar>
            <w:vAlign w:val="center"/>
          </w:tcPr>
          <w:p w14:paraId="541E2608">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2</w:t>
            </w:r>
          </w:p>
        </w:tc>
        <w:tc>
          <w:tcPr>
            <w:tcW w:w="1007" w:type="dxa"/>
            <w:shd w:val="clear" w:color="auto" w:fill="FFFFFF"/>
            <w:tcMar>
              <w:top w:w="150" w:type="dxa"/>
              <w:left w:w="240" w:type="dxa"/>
              <w:bottom w:w="150" w:type="dxa"/>
              <w:right w:w="0" w:type="dxa"/>
            </w:tcMar>
            <w:vAlign w:val="center"/>
          </w:tcPr>
          <w:p w14:paraId="5AD80C3F">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26CB84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0391A713">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419DAFEE">
            <w:pPr>
              <w:widowControl/>
              <w:jc w:val="left"/>
              <w:rPr>
                <w:rFonts w:ascii="仿宋" w:hAnsi="仿宋" w:eastAsia="仿宋" w:cs="Segoe UI"/>
                <w:color w:val="0F1115"/>
                <w:kern w:val="0"/>
                <w:szCs w:val="21"/>
              </w:rPr>
            </w:pPr>
            <w:r>
              <w:rPr>
                <w:rFonts w:ascii="仿宋" w:hAnsi="仿宋" w:eastAsia="仿宋" w:cs="Segoe UI"/>
                <w:color w:val="0F1115"/>
                <w:kern w:val="0"/>
                <w:szCs w:val="21"/>
              </w:rPr>
              <w:t>免费增值服务</w:t>
            </w:r>
          </w:p>
        </w:tc>
        <w:tc>
          <w:tcPr>
            <w:tcW w:w="4536" w:type="dxa"/>
            <w:shd w:val="clear" w:color="auto" w:fill="FFFFFF"/>
            <w:tcMar>
              <w:top w:w="150" w:type="dxa"/>
              <w:left w:w="240" w:type="dxa"/>
              <w:bottom w:w="150" w:type="dxa"/>
              <w:right w:w="240" w:type="dxa"/>
            </w:tcMar>
            <w:vAlign w:val="center"/>
          </w:tcPr>
          <w:p w14:paraId="03579D5E">
            <w:pPr>
              <w:widowControl/>
              <w:jc w:val="left"/>
              <w:rPr>
                <w:rFonts w:ascii="仿宋" w:hAnsi="仿宋" w:eastAsia="仿宋" w:cs="Segoe UI"/>
                <w:color w:val="0F1115"/>
                <w:kern w:val="0"/>
                <w:szCs w:val="21"/>
              </w:rPr>
            </w:pPr>
            <w:r>
              <w:rPr>
                <w:rFonts w:ascii="仿宋" w:hAnsi="仿宋" w:eastAsia="仿宋" w:cs="Segoe UI"/>
                <w:color w:val="0F1115"/>
                <w:kern w:val="0"/>
                <w:szCs w:val="21"/>
              </w:rPr>
              <w:t>承诺免费提供额外服务（如定期巡查、协助采购人临时存取货物、提供简易办公场所等），根据承诺内容</w:t>
            </w:r>
            <w:bookmarkStart w:id="2" w:name="_GoBack"/>
            <w:bookmarkEnd w:id="2"/>
            <w:r>
              <w:rPr>
                <w:rFonts w:ascii="仿宋" w:hAnsi="仿宋" w:eastAsia="仿宋" w:cs="Segoe UI"/>
                <w:color w:val="0F1115"/>
                <w:kern w:val="0"/>
                <w:szCs w:val="21"/>
              </w:rPr>
              <w:t>多少及实用性，得</w:t>
            </w:r>
            <w:r>
              <w:rPr>
                <w:rFonts w:hint="eastAsia" w:ascii="仿宋" w:hAnsi="仿宋" w:eastAsia="仿宋" w:cs="宋体"/>
                <w:b/>
                <w:bCs/>
                <w:kern w:val="0"/>
                <w:szCs w:val="21"/>
              </w:rPr>
              <w:t>2</w:t>
            </w:r>
            <w:r>
              <w:rPr>
                <w:rFonts w:ascii="仿宋" w:hAnsi="仿宋" w:eastAsia="仿宋" w:cs="Segoe UI"/>
                <w:color w:val="0F1115"/>
                <w:kern w:val="0"/>
                <w:szCs w:val="21"/>
              </w:rPr>
              <w:t>分。</w:t>
            </w:r>
          </w:p>
        </w:tc>
        <w:tc>
          <w:tcPr>
            <w:tcW w:w="850" w:type="dxa"/>
            <w:shd w:val="clear" w:color="auto" w:fill="FFFFFF"/>
            <w:tcMar>
              <w:top w:w="150" w:type="dxa"/>
              <w:left w:w="240" w:type="dxa"/>
              <w:bottom w:w="150" w:type="dxa"/>
              <w:right w:w="240" w:type="dxa"/>
            </w:tcMar>
            <w:vAlign w:val="center"/>
          </w:tcPr>
          <w:p w14:paraId="575B47DA">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2</w:t>
            </w:r>
          </w:p>
        </w:tc>
        <w:tc>
          <w:tcPr>
            <w:tcW w:w="1007" w:type="dxa"/>
            <w:shd w:val="clear" w:color="auto" w:fill="FFFFFF"/>
            <w:tcMar>
              <w:top w:w="150" w:type="dxa"/>
              <w:left w:w="240" w:type="dxa"/>
              <w:bottom w:w="150" w:type="dxa"/>
              <w:right w:w="0" w:type="dxa"/>
            </w:tcMar>
            <w:vAlign w:val="center"/>
          </w:tcPr>
          <w:p w14:paraId="07769505">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504CF3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672A148E">
            <w:pPr>
              <w:widowControl/>
              <w:jc w:val="left"/>
              <w:rPr>
                <w:rFonts w:ascii="仿宋" w:hAnsi="仿宋" w:eastAsia="仿宋" w:cs="Segoe UI"/>
                <w:color w:val="0F1115"/>
                <w:kern w:val="0"/>
                <w:szCs w:val="21"/>
              </w:rPr>
            </w:pPr>
          </w:p>
        </w:tc>
        <w:tc>
          <w:tcPr>
            <w:tcW w:w="993" w:type="dxa"/>
            <w:shd w:val="clear" w:color="auto" w:fill="FFFFFF"/>
            <w:tcMar>
              <w:top w:w="150" w:type="dxa"/>
              <w:left w:w="240" w:type="dxa"/>
              <w:bottom w:w="150" w:type="dxa"/>
              <w:right w:w="240" w:type="dxa"/>
            </w:tcMar>
            <w:vAlign w:val="center"/>
          </w:tcPr>
          <w:p w14:paraId="214C22FC">
            <w:pPr>
              <w:widowControl/>
              <w:jc w:val="left"/>
              <w:rPr>
                <w:rFonts w:ascii="仿宋" w:hAnsi="仿宋" w:eastAsia="仿宋" w:cs="Segoe UI"/>
                <w:color w:val="0F1115"/>
                <w:kern w:val="0"/>
                <w:szCs w:val="21"/>
              </w:rPr>
            </w:pPr>
            <w:r>
              <w:rPr>
                <w:rFonts w:ascii="仿宋" w:hAnsi="仿宋" w:eastAsia="仿宋" w:cs="Segoe UI"/>
                <w:color w:val="0F1115"/>
                <w:kern w:val="0"/>
                <w:szCs w:val="21"/>
              </w:rPr>
              <w:t>地理位置优势</w:t>
            </w:r>
          </w:p>
        </w:tc>
        <w:tc>
          <w:tcPr>
            <w:tcW w:w="4536" w:type="dxa"/>
            <w:shd w:val="clear" w:color="auto" w:fill="FFFFFF"/>
            <w:tcMar>
              <w:top w:w="150" w:type="dxa"/>
              <w:left w:w="240" w:type="dxa"/>
              <w:bottom w:w="150" w:type="dxa"/>
              <w:right w:w="240" w:type="dxa"/>
            </w:tcMar>
            <w:vAlign w:val="center"/>
          </w:tcPr>
          <w:p w14:paraId="4E6F0871">
            <w:pPr>
              <w:widowControl/>
              <w:jc w:val="left"/>
              <w:rPr>
                <w:rFonts w:ascii="仿宋" w:hAnsi="仿宋" w:eastAsia="仿宋" w:cs="Segoe UI"/>
                <w:color w:val="0F1115"/>
                <w:kern w:val="0"/>
                <w:szCs w:val="21"/>
              </w:rPr>
            </w:pPr>
            <w:r>
              <w:rPr>
                <w:rFonts w:ascii="仿宋" w:hAnsi="仿宋" w:eastAsia="仿宋" w:cs="Segoe UI"/>
                <w:color w:val="0F1115"/>
                <w:kern w:val="0"/>
                <w:szCs w:val="21"/>
              </w:rPr>
              <w:t>库房距离现服务地点（河北省永清县别古庄镇老幼屯村村西）</w:t>
            </w:r>
            <w:r>
              <w:rPr>
                <w:rFonts w:ascii="Calibri" w:hAnsi="Calibri" w:eastAsia="仿宋" w:cs="Calibri"/>
                <w:color w:val="0F1115"/>
                <w:kern w:val="0"/>
                <w:szCs w:val="21"/>
              </w:rPr>
              <w:t> </w:t>
            </w:r>
            <w:r>
              <w:rPr>
                <w:rFonts w:ascii="仿宋" w:hAnsi="仿宋" w:eastAsia="仿宋" w:cs="Segoe UI"/>
                <w:color w:val="0F1115"/>
                <w:kern w:val="0"/>
                <w:szCs w:val="21"/>
              </w:rPr>
              <w:t>的直线行车距离（以主流地图软件测量最短距离为准），≤10公里得</w:t>
            </w:r>
            <w:r>
              <w:rPr>
                <w:rFonts w:hint="eastAsia" w:ascii="仿宋" w:hAnsi="仿宋" w:eastAsia="仿宋" w:cs="Segoe UI"/>
                <w:color w:val="0F1115"/>
                <w:kern w:val="0"/>
                <w:szCs w:val="21"/>
              </w:rPr>
              <w:t>6</w:t>
            </w:r>
            <w:r>
              <w:rPr>
                <w:rFonts w:ascii="仿宋" w:hAnsi="仿宋" w:eastAsia="仿宋" w:cs="Segoe UI"/>
                <w:color w:val="0F1115"/>
                <w:kern w:val="0"/>
                <w:szCs w:val="21"/>
              </w:rPr>
              <w:t>分，≤20公里得</w:t>
            </w:r>
            <w:r>
              <w:rPr>
                <w:rFonts w:hint="eastAsia" w:ascii="仿宋" w:hAnsi="仿宋" w:eastAsia="仿宋" w:cs="Segoe UI"/>
                <w:color w:val="0F1115"/>
                <w:kern w:val="0"/>
                <w:szCs w:val="21"/>
              </w:rPr>
              <w:t>3</w:t>
            </w:r>
            <w:r>
              <w:rPr>
                <w:rFonts w:ascii="仿宋" w:hAnsi="仿宋" w:eastAsia="仿宋" w:cs="Segoe UI"/>
                <w:color w:val="0F1115"/>
                <w:kern w:val="0"/>
                <w:szCs w:val="21"/>
              </w:rPr>
              <w:t>分，＞20公里得</w:t>
            </w:r>
            <w:r>
              <w:rPr>
                <w:rFonts w:hint="eastAsia" w:ascii="仿宋" w:hAnsi="仿宋" w:eastAsia="仿宋" w:cs="Segoe UI"/>
                <w:color w:val="0F1115"/>
                <w:kern w:val="0"/>
                <w:szCs w:val="21"/>
              </w:rPr>
              <w:t>1</w:t>
            </w:r>
            <w:r>
              <w:rPr>
                <w:rFonts w:ascii="仿宋" w:hAnsi="仿宋" w:eastAsia="仿宋" w:cs="Segoe UI"/>
                <w:color w:val="0F1115"/>
                <w:kern w:val="0"/>
                <w:szCs w:val="21"/>
              </w:rPr>
              <w:t>分。需提供地图测距截图作为证明文件。</w:t>
            </w:r>
          </w:p>
        </w:tc>
        <w:tc>
          <w:tcPr>
            <w:tcW w:w="850" w:type="dxa"/>
            <w:shd w:val="clear" w:color="auto" w:fill="FFFFFF"/>
            <w:tcMar>
              <w:top w:w="150" w:type="dxa"/>
              <w:left w:w="240" w:type="dxa"/>
              <w:bottom w:w="150" w:type="dxa"/>
              <w:right w:w="240" w:type="dxa"/>
            </w:tcMar>
            <w:vAlign w:val="center"/>
          </w:tcPr>
          <w:p w14:paraId="08578044">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6</w:t>
            </w:r>
          </w:p>
        </w:tc>
        <w:tc>
          <w:tcPr>
            <w:tcW w:w="1007" w:type="dxa"/>
            <w:shd w:val="clear" w:color="auto" w:fill="FFFFFF"/>
            <w:tcMar>
              <w:top w:w="150" w:type="dxa"/>
              <w:left w:w="240" w:type="dxa"/>
              <w:bottom w:w="150" w:type="dxa"/>
              <w:right w:w="0" w:type="dxa"/>
            </w:tcMar>
            <w:vAlign w:val="center"/>
          </w:tcPr>
          <w:p w14:paraId="4F6A4BBE">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502AC5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39" w:type="dxa"/>
            <w:shd w:val="clear" w:color="auto" w:fill="FFFFFF"/>
            <w:tcMar>
              <w:top w:w="150" w:type="dxa"/>
              <w:left w:w="0" w:type="dxa"/>
              <w:bottom w:w="150" w:type="dxa"/>
              <w:right w:w="240" w:type="dxa"/>
            </w:tcMar>
            <w:vAlign w:val="center"/>
          </w:tcPr>
          <w:p w14:paraId="3D6868C1">
            <w:pPr>
              <w:widowControl/>
              <w:jc w:val="left"/>
              <w:rPr>
                <w:rFonts w:ascii="仿宋" w:hAnsi="仿宋" w:eastAsia="仿宋" w:cs="Segoe UI"/>
                <w:color w:val="0F1115"/>
                <w:kern w:val="0"/>
                <w:szCs w:val="21"/>
              </w:rPr>
            </w:pPr>
            <w:r>
              <w:rPr>
                <w:rFonts w:ascii="仿宋" w:hAnsi="仿宋" w:eastAsia="仿宋" w:cs="Segoe UI"/>
                <w:color w:val="0F1115"/>
                <w:kern w:val="0"/>
                <w:szCs w:val="21"/>
              </w:rPr>
              <w:t>总分</w:t>
            </w:r>
          </w:p>
        </w:tc>
        <w:tc>
          <w:tcPr>
            <w:tcW w:w="993" w:type="dxa"/>
            <w:shd w:val="clear" w:color="auto" w:fill="FFFFFF"/>
            <w:tcMar>
              <w:top w:w="150" w:type="dxa"/>
              <w:left w:w="240" w:type="dxa"/>
              <w:bottom w:w="150" w:type="dxa"/>
              <w:right w:w="240" w:type="dxa"/>
            </w:tcMar>
            <w:vAlign w:val="center"/>
          </w:tcPr>
          <w:p w14:paraId="621AC854">
            <w:pPr>
              <w:widowControl/>
              <w:jc w:val="left"/>
              <w:rPr>
                <w:rFonts w:ascii="仿宋" w:hAnsi="仿宋" w:eastAsia="仿宋" w:cs="Segoe UI"/>
                <w:color w:val="0F1115"/>
                <w:kern w:val="0"/>
                <w:szCs w:val="21"/>
              </w:rPr>
            </w:pPr>
          </w:p>
        </w:tc>
        <w:tc>
          <w:tcPr>
            <w:tcW w:w="4536" w:type="dxa"/>
            <w:shd w:val="clear" w:color="auto" w:fill="FFFFFF"/>
            <w:tcMar>
              <w:top w:w="150" w:type="dxa"/>
              <w:left w:w="240" w:type="dxa"/>
              <w:bottom w:w="150" w:type="dxa"/>
              <w:right w:w="240" w:type="dxa"/>
            </w:tcMar>
            <w:vAlign w:val="center"/>
          </w:tcPr>
          <w:p w14:paraId="03C551ED">
            <w:pPr>
              <w:widowControl/>
              <w:jc w:val="left"/>
              <w:rPr>
                <w:rFonts w:ascii="仿宋" w:hAnsi="仿宋" w:eastAsia="仿宋" w:cs="Segoe UI"/>
                <w:color w:val="0F1115"/>
                <w:kern w:val="0"/>
                <w:szCs w:val="21"/>
              </w:rPr>
            </w:pPr>
          </w:p>
        </w:tc>
        <w:tc>
          <w:tcPr>
            <w:tcW w:w="850" w:type="dxa"/>
            <w:shd w:val="clear" w:color="auto" w:fill="FFFFFF"/>
            <w:tcMar>
              <w:top w:w="150" w:type="dxa"/>
              <w:left w:w="240" w:type="dxa"/>
              <w:bottom w:w="150" w:type="dxa"/>
              <w:right w:w="240" w:type="dxa"/>
            </w:tcMar>
            <w:vAlign w:val="center"/>
          </w:tcPr>
          <w:p w14:paraId="1FE83BC4">
            <w:pPr>
              <w:widowControl/>
              <w:jc w:val="left"/>
              <w:rPr>
                <w:rFonts w:ascii="仿宋" w:hAnsi="仿宋" w:eastAsia="仿宋" w:cs="Segoe UI"/>
                <w:color w:val="0F1115"/>
                <w:kern w:val="0"/>
                <w:szCs w:val="21"/>
              </w:rPr>
            </w:pPr>
            <w:r>
              <w:rPr>
                <w:rFonts w:ascii="仿宋" w:hAnsi="仿宋" w:eastAsia="仿宋" w:cs="Segoe UI"/>
                <w:color w:val="0F1115"/>
                <w:kern w:val="0"/>
                <w:szCs w:val="21"/>
              </w:rPr>
              <w:t>100</w:t>
            </w:r>
          </w:p>
        </w:tc>
        <w:tc>
          <w:tcPr>
            <w:tcW w:w="1007" w:type="dxa"/>
            <w:shd w:val="clear" w:color="auto" w:fill="FFFFFF"/>
            <w:vAlign w:val="center"/>
          </w:tcPr>
          <w:p w14:paraId="40CADAB0">
            <w:pPr>
              <w:widowControl/>
              <w:jc w:val="left"/>
              <w:rPr>
                <w:rFonts w:ascii="仿宋" w:hAnsi="仿宋" w:eastAsia="仿宋" w:cs="Segoe UI"/>
                <w:color w:val="0F1115"/>
                <w:kern w:val="0"/>
                <w:szCs w:val="21"/>
              </w:rPr>
            </w:pPr>
          </w:p>
        </w:tc>
      </w:tr>
    </w:tbl>
    <w:p w14:paraId="6C1EE46B">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bCs/>
          <w:color w:val="0F1115"/>
          <w:kern w:val="0"/>
          <w:sz w:val="24"/>
        </w:rPr>
        <w:t>评审委员会确认：</w:t>
      </w:r>
    </w:p>
    <w:p w14:paraId="7932D854">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color w:val="0F1115"/>
          <w:kern w:val="0"/>
          <w:sz w:val="24"/>
        </w:rPr>
        <w:t>我们确认，已根据比选文件规定的评审标准和程序，对所有通过资格性及符合性审查的参选文件进行了独立、公正的评审，并依据上表评分标准得出各项得分及总评分。</w:t>
      </w:r>
    </w:p>
    <w:p w14:paraId="4061FE7F">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color w:val="0F1115"/>
          <w:kern w:val="0"/>
          <w:sz w:val="24"/>
        </w:rPr>
        <w:t xml:space="preserve">评审员（签字）：__________ __________ __________ </w:t>
      </w:r>
    </w:p>
    <w:p w14:paraId="716C9A71">
      <w:pPr>
        <w:widowControl/>
        <w:shd w:val="clear" w:color="auto" w:fill="FFFFFF"/>
        <w:spacing w:line="520" w:lineRule="exact"/>
        <w:contextualSpacing/>
        <w:jc w:val="left"/>
        <w:rPr>
          <w:rFonts w:ascii="仿宋" w:hAnsi="仿宋" w:eastAsia="仿宋" w:cs="Segoe UI"/>
          <w:color w:val="0F1115"/>
          <w:kern w:val="0"/>
          <w:sz w:val="24"/>
        </w:rPr>
      </w:pPr>
      <w:r>
        <w:rPr>
          <w:rFonts w:ascii="仿宋" w:hAnsi="仿宋" w:eastAsia="仿宋" w:cs="Segoe UI"/>
          <w:color w:val="0F1115"/>
          <w:kern w:val="0"/>
          <w:sz w:val="24"/>
        </w:rPr>
        <w:t>日 期：__________年______月______日</w:t>
      </w:r>
    </w:p>
    <w:p w14:paraId="48DF6A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D7DB1"/>
    <w:rsid w:val="533D7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2026-03-16T08:12:00Z</dcterms:created>
  <dc:creator>Lyn</dc:creator>
  <cp:lastModifiedBy>Lyn</cp:lastModifiedBy>
  <dcterms:modified xsi:type="dcterms:W3CDTF">2026-03-16T08:14:13Z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D2589AC256A343139B58FE28895BF569_11</vt:lpwstr>
  </property>
  <property fmtid="{D5CDD505-2E9C-101B-9397-08002B2CF9AE}" pid="4" name="KSOTemplateDocerSaveRecord">
    <vt:lpwstr>eyJoZGlkIjoiMzI1NTc2YjM3YjBhNGRlYTk3YmY1YzQ4ZGRhMmI5ZWUiLCJ1c2VySWQiOiI0MzA1OTk4ODEifQ==</vt:lpwstr>
  </property>
</Properties>
</file>