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C68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7AEC20CC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4"/>
        </w:rPr>
      </w:pPr>
      <w:r>
        <w:rPr>
          <w:rFonts w:ascii="仿宋" w:hAnsi="仿宋" w:eastAsia="仿宋" w:cs="Segoe UI"/>
          <w:bCs/>
          <w:color w:val="0F1115"/>
          <w:szCs w:val="24"/>
        </w:rPr>
        <w:t>项目名称：</w:t>
      </w:r>
      <w:r>
        <w:rPr>
          <w:rFonts w:ascii="Calibri" w:hAnsi="Calibri" w:eastAsia="仿宋" w:cs="Calibri"/>
          <w:color w:val="0F1115"/>
          <w:szCs w:val="24"/>
        </w:rPr>
        <w:t> </w:t>
      </w:r>
      <w:r>
        <w:rPr>
          <w:rFonts w:hint="eastAsia" w:ascii="仿宋" w:hAnsi="仿宋" w:eastAsia="仿宋" w:cs="Segoe UI"/>
          <w:bCs/>
          <w:color w:val="0F1115"/>
          <w:szCs w:val="24"/>
          <w:shd w:val="clear" w:color="auto" w:fill="FFFFFF"/>
        </w:rPr>
        <w:t>首都医科大学附属北京口腔医院官网网站基础运维服务项目</w:t>
      </w:r>
      <w:r>
        <w:rPr>
          <w:rFonts w:ascii="仿宋" w:hAnsi="仿宋" w:eastAsia="仿宋" w:cs="Segoe UI"/>
          <w:color w:val="0F1115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szCs w:val="24"/>
        </w:rPr>
        <w:t>评审原则：</w:t>
      </w:r>
      <w:r>
        <w:rPr>
          <w:rFonts w:ascii="Calibri" w:hAnsi="Calibri" w:eastAsia="仿宋" w:cs="Calibri"/>
          <w:color w:val="0F1115"/>
          <w:szCs w:val="24"/>
        </w:rPr>
        <w:t> </w:t>
      </w:r>
      <w:r>
        <w:rPr>
          <w:rFonts w:ascii="仿宋" w:hAnsi="仿宋" w:eastAsia="仿宋" w:cs="Segoe UI"/>
          <w:color w:val="0F1115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520B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7BD4CA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F62255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19090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D7F3F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817358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</w:t>
            </w:r>
          </w:p>
        </w:tc>
      </w:tr>
      <w:tr w14:paraId="18D4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CADE23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F54FAE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6545A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审查标准：是否按“总价包干”方式进行整体报价，且只报一个不超过最高限价（170,000元）的总价。审查要点：1. 报价函或应答一览表中的报价是否为唯一、确定的总价。2. 该总价是否明确为“总价包干”或“包干价”。3. 该总价是否未超过170,000元的最高限价。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BDCE0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D68423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4329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73FB6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2D1181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837F8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审查要点：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1. 是否编制目录及页码。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2. 是否牢固装订成册（如胶装）。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1454BF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9D5F5C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151C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8B217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AF9CD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6E0D2A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审查要点：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5DD069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31824A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19A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3654F9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D63CEF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834E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审查标准：服务方案、人员配置等核心内容是否实质性响应项目需求，无负偏离。审查要点：</w:t>
            </w:r>
          </w:p>
          <w:p w14:paraId="496C1B9F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 服务方案：是否涵盖云服务器、安全产品、网站运维服务等全部核心内容；方案是否具体、可行。</w:t>
            </w:r>
          </w:p>
          <w:p w14:paraId="3CE1D8F7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 人员配置：是否明确配备了项目负责人、安全运维工程师、网站运维编辑等人员，并提供了相关人员信息。</w:t>
            </w:r>
          </w:p>
          <w:p w14:paraId="5BC7F889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 实质性负偏离：是否对项目核心需求（如服务内容、质量要求、交付成果、服务期限等）存在删减、否定或无法满足的响应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B24049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B84033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此为主观判断项。评审需结合项目需求综合判断。对非核心内容的微小偏离或优化建议，不视为负偏离。</w:t>
            </w:r>
          </w:p>
        </w:tc>
      </w:tr>
      <w:tr w14:paraId="120C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ADC92F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3B7F5A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BE5786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bCs/>
                <w:szCs w:val="21"/>
              </w:rPr>
              <w:t>审查要点：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仿宋" w:hAnsi="仿宋" w:eastAsia="仿宋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EB8AD6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8DDD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5E73156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符合性审查总体结论记录表</w:t>
      </w:r>
    </w:p>
    <w:p w14:paraId="257BF38B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评审员填写指引：</w:t>
      </w:r>
    </w:p>
    <w:p w14:paraId="3730403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请根据上表对每家参选人进行逐项审查，并在对应“审查结论”栏勾选“符合”或“不符合”。</w:t>
      </w:r>
    </w:p>
    <w:p w14:paraId="4C88B6E0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完成逐项审查后，根据评审原则，在本表记录总体结论。</w:t>
      </w:r>
    </w:p>
    <w:p w14:paraId="447914A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autoSpaceDE/>
        <w:autoSpaceDN/>
        <w:spacing w:line="520" w:lineRule="exact"/>
        <w:ind w:left="0" w:firstLine="0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2"/>
        <w:gridCol w:w="2721"/>
        <w:gridCol w:w="1404"/>
        <w:gridCol w:w="3349"/>
      </w:tblGrid>
      <w:tr w14:paraId="6728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FA4795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评审顺序号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BB391A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C31EAF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395927">
            <w:pPr>
              <w:widowControl/>
              <w:spacing w:line="520" w:lineRule="exact"/>
              <w:contextualSpacing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不符合原因说明 (仅当结论为“不符合”时填写)</w:t>
            </w:r>
          </w:p>
        </w:tc>
      </w:tr>
      <w:tr w14:paraId="5CE2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116CB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439FA9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D6971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 </w:t>
            </w:r>
          </w:p>
          <w:p w14:paraId="06D4ACD1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140493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</w:tr>
      <w:tr w14:paraId="5657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C79113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C8F237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16942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 </w:t>
            </w:r>
          </w:p>
          <w:p w14:paraId="3A33CEC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159EFC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</w:tr>
      <w:tr w14:paraId="40DC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55729A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DAA2F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583A3B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符合 </w:t>
            </w:r>
          </w:p>
          <w:p w14:paraId="14342174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Segoe UI Symbol" w:hAnsi="Segoe UI Symbol" w:eastAsia="仿宋" w:cs="Segoe UI Symbol"/>
                <w:szCs w:val="21"/>
              </w:rPr>
              <w:t>☐</w:t>
            </w:r>
            <w:r>
              <w:rPr>
                <w:rFonts w:ascii="仿宋" w:hAnsi="仿宋" w:eastAsia="仿宋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125F66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</w:tr>
      <w:tr w14:paraId="7C10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78A756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…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16181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D4FC8B">
            <w:pPr>
              <w:widowControl/>
              <w:spacing w:line="520" w:lineRule="exact"/>
              <w:contextualSpacing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CE60A9">
            <w:pPr>
              <w:widowControl/>
              <w:spacing w:line="520" w:lineRule="exact"/>
              <w:contextualSpacing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4975056A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bCs/>
          <w:color w:val="0F1115"/>
          <w:szCs w:val="21"/>
        </w:rPr>
        <w:t>评审委员会确认：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仿宋" w:hAnsi="仿宋" w:eastAsia="仿宋" w:cs="Segoe UI"/>
          <w:color w:val="0F1115"/>
          <w:szCs w:val="21"/>
        </w:rPr>
        <w:t>我们确认，已根据比选文件规定的符合性审查要求，对所有参选文件进行了审查，并依据评审原则形成上述总体结论。</w:t>
      </w:r>
    </w:p>
    <w:p w14:paraId="0E88CADC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评审员（签字）：__________ __________ __________ __________</w:t>
      </w:r>
    </w:p>
    <w:p w14:paraId="60ACC6AD">
      <w:r>
        <w:rPr>
          <w:rFonts w:ascii="仿宋" w:hAnsi="仿宋" w:eastAsia="仿宋" w:cs="Segoe UI"/>
          <w:color w:val="0F1115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5427C"/>
    <w:rsid w:val="453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2026-03-02T03:04:00Z</dcterms:created>
  <dc:creator>Lyn</dc:creator>
  <cp:lastModifiedBy>Lyn</cp:lastModifiedBy>
  <dcterms:modified xsi:type="dcterms:W3CDTF">2026-03-02T03:05:57Z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F5538E62EA8F40349583FF030EFED50C_11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