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7A3A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8"/>
      <w:bookmarkStart w:id="1" w:name="OLE_LINK9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6A2D2B1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28"/>
          <w:szCs w:val="28"/>
          <w:shd w:val="clear" w:color="auto" w:fill="FFFFFF"/>
        </w:rPr>
      </w:pPr>
      <w:r>
        <w:rPr>
          <w:rFonts w:ascii="仿宋" w:hAnsi="仿宋" w:eastAsia="仿宋"/>
          <w:color w:val="0F1115"/>
          <w:sz w:val="28"/>
          <w:szCs w:val="28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/>
          <w:color w:val="0F1115"/>
          <w:sz w:val="28"/>
          <w:szCs w:val="28"/>
          <w:shd w:val="clear" w:color="auto" w:fill="FFFFFF"/>
        </w:rPr>
        <w:t>王府井院区电梯日常维护保养服务项目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1088"/>
        <w:gridCol w:w="5149"/>
        <w:gridCol w:w="787"/>
        <w:gridCol w:w="793"/>
      </w:tblGrid>
      <w:tr w14:paraId="46AE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629EAE">
            <w:pPr>
              <w:widowControl/>
              <w:jc w:val="left"/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评分部分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6E5E5C">
            <w:pPr>
              <w:widowControl/>
              <w:jc w:val="left"/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评分因素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26F804">
            <w:pPr>
              <w:widowControl/>
              <w:jc w:val="left"/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059062">
            <w:pPr>
              <w:widowControl/>
              <w:jc w:val="left"/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810520">
            <w:pPr>
              <w:widowControl/>
              <w:jc w:val="left"/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分值属性</w:t>
            </w:r>
          </w:p>
        </w:tc>
      </w:tr>
      <w:tr w14:paraId="45F8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379999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价格部分 (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0C3CCD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参选报价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5637C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满足比选文件要求且参选价格最低的报价为评审基准价，其价格分为满分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分。其他参选人的价格分统一按照下列公式计算：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价格得分 = (评审基准价 / 参选报价) ×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464BD0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D73424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3B77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828A78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商务部分 (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56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070D9C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同类项目业绩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A208B7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提供自本项目比选公告发布之日起向前推算三年内，参选人承接的电梯日常维护保养服务业绩。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评分标准：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1. 每提供1个有效的业绩合同得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分，本项最高得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18"/>
                <w:szCs w:val="18"/>
              </w:rPr>
              <w:t>12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2. 其中，业绩服务对象为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医院类机构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的，每个额外加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分，累计加分最高不超过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（须提供合同关键页复印件，包含合同封面、服务内容页、双方签字盖章页，否则该业绩不计分）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3535D0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5E4488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534B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CC877A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64CEF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项目团队配置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7218CE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1. 人员配置完整性（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分，客观分）：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①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项目负责人：具有5年以上电梯维保经验，持有有效的特种设备作业人员证，得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②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现场技术人员：配备2名及以上持有效证的技术人员，得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分；仅配备1名，得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2. 人员技术实力（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14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①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人员稳定性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分，客观分）：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 上述所有人员中，每提供一人由参选单位为其缴纳的近3个月社保证明，得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分，本项最高得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②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技术能力佐证（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分，主观分）：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 根据参选人提供的技术人员培训记录、技能证书（如电梯电气安装维修、机械安装维修等专项能力证明）、过往项目业主对其技术水平的书面认可或表扬等材料，综合评定其技术实力。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 •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：人员持证齐全，提供多项高级别或专项技能证书，培训记录系统，且有业主书面表扬等强力佐证，技术实力突出。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 •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：人员持证齐全，提供必要的培训记录或技能证书，能证明具备良好的技术能力。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 •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4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：仅提供基本持证证明，缺乏其他技术能力佐证材料。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 •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未提供任何佐证材料不得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0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E8895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3A6543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客观/主观</w:t>
            </w:r>
          </w:p>
        </w:tc>
      </w:tr>
      <w:tr w14:paraId="4938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CB87AA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2045A6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服务保障能力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1CB051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1. 备品备件保障（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分，客观分）：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①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承诺提供本项目电梯常用备件清单，并保证备件储备充足、供应渠道正规可靠，得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②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在上述基础上，提供《免费更换易损件清单》，清单内容全面、合理，得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2. 应急预案（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分，主观分）：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针对困人、设备故障、停电等突发情况，提供详细的应急救援预案。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：预案内容完整、分工明确、操作性强。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：预案内容基本完整、具备可操作性。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4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：预案简单粗泛。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未提供不得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0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A50A6A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8D4911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客观/主观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66</w:t>
            </w:r>
          </w:p>
        </w:tc>
      </w:tr>
      <w:tr w14:paraId="5FC8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C4DCCE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技术部分 (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34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57A1C1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服务方案的针对性与可行性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E5378F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1. 需求理解与方案匹配度（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分，主观分）：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对医院特殊环境（如手术室、诊室等重点区域优先保障、患者及医护人员安全、避免高峰时段作业等）的理解程度，以及服务方案是否与之匹配。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：理解深刻，方案高度匹配，充分体现医院维保特点。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4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：理解准确，方案基本匹配，能考虑医院特殊需求。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：理解一般，方案针对性不强，与普通场所方案无异。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2. 维保计划科学性（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分，主观分）：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根据《电梯维护保养规则》（TSG T5002-2017）要求，结合3部电梯使用年限长、部件老化的现状，制定的半月、季度、半年、年度维保计划是否科学、合理、具有针对性。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8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：计划详尽，针对老化电梯有专门的检查保养措施，重点突出。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6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：计划完整、合理，符合规范要求，能覆盖基本维保需求。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4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：计划粗泛，照搬规范模板，缺乏针对性。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916FF8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816338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1BF0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FD1799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7F0787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应急响应与故障处置能力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506955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1. 应急响应速度承诺（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分，客观分）：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①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承诺困人故障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25分钟内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（含）抵达现场，得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②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承诺困人故障30分钟内抵达现场（满足比选文件基本要求），得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③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承诺超过30分钟，不得分。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2. 故障处置方案（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分，主观分）：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针对本项目电梯“使用年限长、部件老化”的特点，提供常见故障（如门系统故障、平层误差、运行异响等）的快速诊断与处置方案。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：方案专业，经验性强，能结合老化电梯常见问题提出针对性排查和修复措施，最大限度缩短停机时间。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：方案完整、合理，涵盖常见故障的一般处置流程。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：方案常规，缺乏针对老化电梯的专门考虑。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E5D0ED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8CCF12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客观/主观</w:t>
            </w:r>
          </w:p>
        </w:tc>
      </w:tr>
      <w:tr w14:paraId="0CB2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E3235B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04DBF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维保质量管控措施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43839C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1. 质量保障体系（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分，主观分）：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为保障维保工作质量而采取的内部监督、检查、考核机制，以及维保记录的规范性、可追溯性。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：机制健全，措施有力，有明确的质量检查标准和奖惩制度。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：有基本机制，能进行常规的质量检查。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• 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分）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：措施不明确，质量保障描述含糊。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2. 服务响应与报告（</w:t>
            </w:r>
            <w:r>
              <w:rPr>
                <w:rFonts w:hint="eastAsia"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分，客观分）：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①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承诺每次维保后3个工作日内提交书面报告的，得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②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承诺每月提交电梯运行情况、零部件使用情况报告的，得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F1115"/>
                <w:kern w:val="0"/>
                <w:sz w:val="18"/>
                <w:szCs w:val="18"/>
              </w:rPr>
              <w:t>③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 xml:space="preserve"> 承诺每年提交全年总结与能效评估报告的，得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1</w:t>
            </w: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1CCEBE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34050C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  <w:t>客观/主观</w:t>
            </w:r>
          </w:p>
        </w:tc>
      </w:tr>
      <w:tr w14:paraId="590E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5D13A8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总分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7EEFE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2873B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ED2854">
            <w:pPr>
              <w:widowControl/>
              <w:jc w:val="left"/>
              <w:rPr>
                <w:rFonts w:ascii="Segoe UI" w:hAnsi="Segoe UI" w:eastAsia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Segoe UI" w:hAnsi="Segoe UI" w:eastAsia="宋体" w:cs="Segoe UI"/>
                <w:bCs/>
                <w:color w:val="0F111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30CBF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</w:p>
        </w:tc>
      </w:tr>
    </w:tbl>
    <w:p w14:paraId="1F1171B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kern w:val="0"/>
          <w:sz w:val="24"/>
          <w:szCs w:val="24"/>
        </w:rPr>
      </w:pPr>
    </w:p>
    <w:p w14:paraId="7B450E6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2346DF8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</w:t>
      </w:r>
      <w:bookmarkStart w:id="2" w:name="_GoBack"/>
      <w:bookmarkEnd w:id="2"/>
      <w:r>
        <w:rPr>
          <w:rFonts w:ascii="仿宋" w:hAnsi="仿宋" w:eastAsia="仿宋" w:cs="Segoe UI"/>
          <w:color w:val="0F1115"/>
          <w:kern w:val="0"/>
          <w:sz w:val="24"/>
          <w:szCs w:val="24"/>
        </w:rPr>
        <w:t>规定的评审标准和程序，对所有通过资格性及符合性审查的参选文件进行了独立、公正的评审，并依据上表评分标准得出各项得分及总评分。</w:t>
      </w:r>
    </w:p>
    <w:p w14:paraId="70FA5B5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239EA3C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582745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44C7A"/>
    <w:rsid w:val="3AB4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2026-02-28T03:19:00Z</dcterms:created>
  <dc:creator>Lyn</dc:creator>
  <cp:lastModifiedBy>Lyn</cp:lastModifiedBy>
  <dcterms:modified xsi:type="dcterms:W3CDTF">2026-02-28T03:20:15Z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3AB7687156004361859E2A2A87146246_11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