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6BB5B">
      <w:pPr>
        <w:widowControl/>
        <w:shd w:val="clear" w:color="auto" w:fill="FFFFFF"/>
        <w:autoSpaceDE/>
        <w:autoSpaceDN/>
        <w:spacing w:line="520" w:lineRule="exact"/>
        <w:contextualSpacing/>
        <w:jc w:val="both"/>
        <w:rPr>
          <w:rFonts w:ascii="仿宋" w:hAnsi="仿宋" w:eastAsia="仿宋" w:cs="Segoe UI"/>
          <w:b/>
          <w:bCs/>
          <w:kern w:val="2"/>
          <w:sz w:val="32"/>
          <w:szCs w:val="32"/>
        </w:rPr>
      </w:pPr>
      <w:bookmarkStart w:id="0" w:name="OLE_LINK17"/>
      <w:bookmarkStart w:id="1" w:name="OLE_LINK18"/>
      <w:r>
        <w:rPr>
          <w:rFonts w:ascii="仿宋" w:hAnsi="仿宋" w:eastAsia="仿宋" w:cs="Segoe UI"/>
          <w:b/>
          <w:bCs/>
          <w:kern w:val="2"/>
          <w:sz w:val="32"/>
          <w:szCs w:val="32"/>
        </w:rPr>
        <w:t>附件</w:t>
      </w:r>
      <w:r>
        <w:rPr>
          <w:rFonts w:hint="eastAsia" w:ascii="仿宋" w:hAnsi="仿宋" w:eastAsia="仿宋" w:cs="Segoe UI"/>
          <w:b/>
          <w:bCs/>
          <w:kern w:val="2"/>
          <w:sz w:val="32"/>
          <w:szCs w:val="32"/>
        </w:rPr>
        <w:t>六</w:t>
      </w:r>
      <w:r>
        <w:rPr>
          <w:rFonts w:ascii="仿宋" w:hAnsi="仿宋" w:eastAsia="仿宋" w:cs="Segoe UI"/>
          <w:b/>
          <w:bCs/>
          <w:kern w:val="2"/>
          <w:sz w:val="32"/>
          <w:szCs w:val="32"/>
        </w:rPr>
        <w:t>：综合评审表（评分表）</w:t>
      </w:r>
      <w:bookmarkStart w:id="2" w:name="_GoBack"/>
      <w:bookmarkEnd w:id="2"/>
    </w:p>
    <w:p w14:paraId="2EBC13ED">
      <w:pPr>
        <w:widowControl/>
        <w:shd w:val="clear" w:color="auto" w:fill="FFFFFF"/>
        <w:autoSpaceDE/>
        <w:autoSpaceDN/>
        <w:spacing w:line="520" w:lineRule="exact"/>
        <w:contextualSpacing/>
        <w:jc w:val="both"/>
        <w:rPr>
          <w:rFonts w:ascii="仿宋" w:hAnsi="仿宋" w:eastAsia="仿宋" w:cs="Segoe UI"/>
          <w:bCs/>
          <w:color w:val="0F1115"/>
          <w:kern w:val="2"/>
          <w:sz w:val="30"/>
          <w:szCs w:val="30"/>
          <w:shd w:val="clear" w:color="auto" w:fill="FFFFFF"/>
        </w:rPr>
      </w:pPr>
      <w:r>
        <w:rPr>
          <w:rFonts w:ascii="仿宋" w:hAnsi="仿宋" w:eastAsia="仿宋" w:cs="Segoe UI"/>
          <w:bCs/>
          <w:kern w:val="2"/>
          <w:sz w:val="30"/>
          <w:szCs w:val="30"/>
        </w:rPr>
        <w:t>项目名称：</w:t>
      </w:r>
      <w:r>
        <w:rPr>
          <w:rFonts w:hint="eastAsia" w:ascii="仿宋" w:hAnsi="仿宋" w:eastAsia="仿宋"/>
          <w:color w:val="000000" w:themeColor="text1"/>
          <w:sz w:val="32"/>
          <w:szCs w:val="32"/>
          <w14:textFill>
            <w14:solidFill>
              <w14:schemeClr w14:val="tx1"/>
            </w14:solidFill>
          </w14:textFill>
        </w:rPr>
        <w:t>王府井院区垃圾清运服务项目</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1129"/>
        <w:gridCol w:w="956"/>
        <w:gridCol w:w="4836"/>
        <w:gridCol w:w="816"/>
        <w:gridCol w:w="814"/>
      </w:tblGrid>
      <w:tr w14:paraId="65C609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blHeader/>
        </w:trPr>
        <w:tc>
          <w:tcPr>
            <w:tcW w:w="1129" w:type="dxa"/>
            <w:shd w:val="clear" w:color="auto" w:fill="FFFFFF"/>
            <w:tcMar>
              <w:top w:w="150" w:type="dxa"/>
              <w:left w:w="0" w:type="dxa"/>
              <w:bottom w:w="150" w:type="dxa"/>
              <w:right w:w="240" w:type="dxa"/>
            </w:tcMar>
            <w:vAlign w:val="center"/>
          </w:tcPr>
          <w:p w14:paraId="519A0CA3">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评分部分</w:t>
            </w:r>
          </w:p>
        </w:tc>
        <w:tc>
          <w:tcPr>
            <w:tcW w:w="956" w:type="dxa"/>
            <w:shd w:val="clear" w:color="auto" w:fill="FFFFFF"/>
            <w:tcMar>
              <w:top w:w="150" w:type="dxa"/>
              <w:left w:w="240" w:type="dxa"/>
              <w:bottom w:w="150" w:type="dxa"/>
              <w:right w:w="240" w:type="dxa"/>
            </w:tcMar>
            <w:vAlign w:val="center"/>
          </w:tcPr>
          <w:p w14:paraId="2E1F10A3">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评分因素</w:t>
            </w:r>
          </w:p>
        </w:tc>
        <w:tc>
          <w:tcPr>
            <w:tcW w:w="0" w:type="auto"/>
            <w:shd w:val="clear" w:color="auto" w:fill="FFFFFF"/>
            <w:tcMar>
              <w:top w:w="150" w:type="dxa"/>
              <w:left w:w="240" w:type="dxa"/>
              <w:bottom w:w="150" w:type="dxa"/>
              <w:right w:w="240" w:type="dxa"/>
            </w:tcMar>
            <w:vAlign w:val="center"/>
          </w:tcPr>
          <w:p w14:paraId="27BED73A">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评分标准</w:t>
            </w:r>
          </w:p>
        </w:tc>
        <w:tc>
          <w:tcPr>
            <w:tcW w:w="0" w:type="auto"/>
            <w:shd w:val="clear" w:color="auto" w:fill="FFFFFF"/>
            <w:tcMar>
              <w:top w:w="150" w:type="dxa"/>
              <w:left w:w="240" w:type="dxa"/>
              <w:bottom w:w="150" w:type="dxa"/>
              <w:right w:w="240" w:type="dxa"/>
            </w:tcMar>
            <w:vAlign w:val="center"/>
          </w:tcPr>
          <w:p w14:paraId="3C8ADF2F">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分值</w:t>
            </w:r>
          </w:p>
        </w:tc>
        <w:tc>
          <w:tcPr>
            <w:tcW w:w="0" w:type="auto"/>
            <w:shd w:val="clear" w:color="auto" w:fill="FFFFFF"/>
            <w:tcMar>
              <w:top w:w="150" w:type="dxa"/>
              <w:left w:w="240" w:type="dxa"/>
              <w:bottom w:w="150" w:type="dxa"/>
              <w:right w:w="240" w:type="dxa"/>
            </w:tcMar>
            <w:vAlign w:val="center"/>
          </w:tcPr>
          <w:p w14:paraId="5D3C4F36">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分值属性</w:t>
            </w:r>
          </w:p>
        </w:tc>
      </w:tr>
      <w:tr w14:paraId="72290C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29" w:type="dxa"/>
            <w:shd w:val="clear" w:color="auto" w:fill="FFFFFF"/>
            <w:tcMar>
              <w:top w:w="150" w:type="dxa"/>
              <w:left w:w="0" w:type="dxa"/>
              <w:bottom w:w="150" w:type="dxa"/>
              <w:right w:w="240" w:type="dxa"/>
            </w:tcMar>
            <w:vAlign w:val="center"/>
          </w:tcPr>
          <w:p w14:paraId="5113FA72">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价格部分(</w:t>
            </w:r>
            <w:r>
              <w:rPr>
                <w:rFonts w:ascii="仿宋" w:hAnsi="仿宋" w:eastAsia="仿宋" w:cs="Segoe UI"/>
                <w:b/>
                <w:bCs/>
                <w:color w:val="0F1115"/>
                <w:sz w:val="21"/>
                <w:szCs w:val="21"/>
              </w:rPr>
              <w:t>10分</w:t>
            </w:r>
            <w:r>
              <w:rPr>
                <w:rFonts w:ascii="仿宋" w:hAnsi="仿宋" w:eastAsia="仿宋" w:cs="Segoe UI"/>
                <w:bCs/>
                <w:color w:val="0F1115"/>
                <w:sz w:val="21"/>
                <w:szCs w:val="21"/>
              </w:rPr>
              <w:t>)</w:t>
            </w:r>
          </w:p>
        </w:tc>
        <w:tc>
          <w:tcPr>
            <w:tcW w:w="956" w:type="dxa"/>
            <w:shd w:val="clear" w:color="auto" w:fill="FFFFFF"/>
            <w:tcMar>
              <w:top w:w="150" w:type="dxa"/>
              <w:left w:w="240" w:type="dxa"/>
              <w:bottom w:w="150" w:type="dxa"/>
              <w:right w:w="240" w:type="dxa"/>
            </w:tcMar>
            <w:vAlign w:val="center"/>
          </w:tcPr>
          <w:p w14:paraId="57F1979C">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投标报价</w:t>
            </w:r>
          </w:p>
        </w:tc>
        <w:tc>
          <w:tcPr>
            <w:tcW w:w="0" w:type="auto"/>
            <w:shd w:val="clear" w:color="auto" w:fill="FFFFFF"/>
            <w:tcMar>
              <w:top w:w="150" w:type="dxa"/>
              <w:left w:w="240" w:type="dxa"/>
              <w:bottom w:w="150" w:type="dxa"/>
              <w:right w:w="240" w:type="dxa"/>
            </w:tcMar>
            <w:vAlign w:val="center"/>
          </w:tcPr>
          <w:p w14:paraId="169A2D8B">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采用“低价优先法”计算</w:t>
            </w:r>
            <w:r>
              <w:rPr>
                <w:rFonts w:hint="eastAsia" w:ascii="仿宋" w:hAnsi="仿宋" w:eastAsia="仿宋" w:cs="Segoe UI"/>
                <w:bCs/>
                <w:color w:val="0F1115"/>
                <w:sz w:val="21"/>
                <w:szCs w:val="21"/>
              </w:rPr>
              <w:t>。</w:t>
            </w:r>
            <w:r>
              <w:rPr>
                <w:rFonts w:ascii="仿宋" w:hAnsi="仿宋" w:eastAsia="仿宋" w:cs="Segoe UI"/>
                <w:bCs/>
                <w:color w:val="0F1115"/>
                <w:sz w:val="21"/>
                <w:szCs w:val="21"/>
              </w:rPr>
              <w:t>满足</w:t>
            </w:r>
            <w:r>
              <w:rPr>
                <w:rFonts w:hint="eastAsia" w:ascii="仿宋" w:hAnsi="仿宋" w:eastAsia="仿宋" w:cs="Segoe UI"/>
                <w:bCs/>
                <w:color w:val="0F1115"/>
                <w:sz w:val="21"/>
                <w:szCs w:val="21"/>
              </w:rPr>
              <w:t>比选</w:t>
            </w:r>
            <w:r>
              <w:rPr>
                <w:rFonts w:ascii="仿宋" w:hAnsi="仿宋" w:eastAsia="仿宋" w:cs="Segoe UI"/>
                <w:bCs/>
                <w:color w:val="0F1115"/>
                <w:sz w:val="21"/>
                <w:szCs w:val="21"/>
              </w:rPr>
              <w:t>文件要求且投标价格最低的报价为评标基准价，其价格得分为满分。</w:t>
            </w:r>
            <w:r>
              <w:rPr>
                <w:rFonts w:ascii="仿宋" w:hAnsi="仿宋" w:eastAsia="仿宋" w:cs="Segoe UI"/>
                <w:color w:val="0F1115"/>
                <w:sz w:val="21"/>
                <w:szCs w:val="21"/>
              </w:rPr>
              <w:br w:type="textWrapping"/>
            </w:r>
            <w:r>
              <w:rPr>
                <w:rFonts w:ascii="仿宋" w:hAnsi="仿宋" w:eastAsia="仿宋" w:cs="Segoe UI"/>
                <w:color w:val="0F1115"/>
                <w:sz w:val="21"/>
                <w:szCs w:val="21"/>
              </w:rPr>
              <w:t>价格得分 = (评标基准价 / 投标报价) ×</w:t>
            </w:r>
            <w:r>
              <w:rPr>
                <w:rFonts w:ascii="仿宋" w:hAnsi="仿宋" w:eastAsia="仿宋" w:cs="Segoe UI"/>
                <w:b/>
                <w:bCs/>
                <w:color w:val="0F1115"/>
                <w:sz w:val="21"/>
                <w:szCs w:val="21"/>
              </w:rPr>
              <w:t>10</w:t>
            </w:r>
            <w:r>
              <w:rPr>
                <w:rFonts w:ascii="仿宋" w:hAnsi="仿宋" w:eastAsia="仿宋" w:cs="Segoe UI"/>
                <w:color w:val="0F1115"/>
                <w:sz w:val="21"/>
                <w:szCs w:val="21"/>
              </w:rPr>
              <w:t>。</w:t>
            </w:r>
            <w:r>
              <w:rPr>
                <w:rFonts w:hint="eastAsia" w:ascii="仿宋" w:hAnsi="仿宋" w:eastAsia="仿宋" w:cs="Segoe UI"/>
                <w:color w:val="0F1115"/>
                <w:sz w:val="21"/>
                <w:szCs w:val="21"/>
              </w:rPr>
              <w:t>（保留</w:t>
            </w:r>
            <w:r>
              <w:rPr>
                <w:rFonts w:ascii="仿宋" w:hAnsi="仿宋" w:eastAsia="仿宋" w:cs="Segoe UI"/>
                <w:color w:val="0F1115"/>
                <w:sz w:val="21"/>
                <w:szCs w:val="21"/>
              </w:rPr>
              <w:t>小数点后两位</w:t>
            </w:r>
            <w:r>
              <w:rPr>
                <w:rFonts w:hint="eastAsia" w:ascii="仿宋" w:hAnsi="仿宋" w:eastAsia="仿宋" w:cs="Segoe UI"/>
                <w:color w:val="0F1115"/>
                <w:sz w:val="21"/>
                <w:szCs w:val="21"/>
              </w:rPr>
              <w:t>）</w:t>
            </w:r>
            <w:r>
              <w:rPr>
                <w:rFonts w:ascii="仿宋" w:hAnsi="仿宋" w:eastAsia="仿宋" w:cs="Segoe UI"/>
                <w:color w:val="0F1115"/>
                <w:sz w:val="21"/>
                <w:szCs w:val="21"/>
              </w:rPr>
              <w:br w:type="textWrapping"/>
            </w:r>
            <w:r>
              <w:rPr>
                <w:rFonts w:ascii="仿宋" w:hAnsi="仿宋" w:eastAsia="仿宋" w:cs="Segoe UI"/>
                <w:bCs/>
                <w:color w:val="0F1115"/>
                <w:sz w:val="21"/>
                <w:szCs w:val="21"/>
              </w:rPr>
              <w:t>注：</w:t>
            </w:r>
            <w:r>
              <w:rPr>
                <w:rFonts w:ascii="Calibri" w:hAnsi="Calibri" w:eastAsia="仿宋" w:cs="Calibri"/>
                <w:color w:val="0F1115"/>
                <w:sz w:val="21"/>
                <w:szCs w:val="21"/>
              </w:rPr>
              <w:t> </w:t>
            </w:r>
            <w:r>
              <w:rPr>
                <w:rFonts w:ascii="仿宋" w:hAnsi="仿宋" w:eastAsia="仿宋" w:cs="Segoe UI"/>
                <w:color w:val="0F1115"/>
                <w:sz w:val="21"/>
                <w:szCs w:val="21"/>
              </w:rPr>
              <w:t>评标基准价为通过资格性及符合性审查的所有有效投标报价中的最低价。</w:t>
            </w:r>
          </w:p>
        </w:tc>
        <w:tc>
          <w:tcPr>
            <w:tcW w:w="0" w:type="auto"/>
            <w:shd w:val="clear" w:color="auto" w:fill="FFFFFF"/>
            <w:tcMar>
              <w:top w:w="150" w:type="dxa"/>
              <w:left w:w="240" w:type="dxa"/>
              <w:bottom w:w="150" w:type="dxa"/>
              <w:right w:w="240" w:type="dxa"/>
            </w:tcMar>
            <w:vAlign w:val="center"/>
          </w:tcPr>
          <w:p w14:paraId="170829C2">
            <w:pPr>
              <w:widowControl/>
              <w:autoSpaceDE/>
              <w:autoSpaceDN/>
              <w:spacing w:line="240" w:lineRule="auto"/>
              <w:rPr>
                <w:rFonts w:ascii="仿宋" w:hAnsi="仿宋" w:eastAsia="仿宋" w:cs="Segoe UI"/>
                <w:color w:val="0F1115"/>
                <w:sz w:val="21"/>
                <w:szCs w:val="21"/>
              </w:rPr>
            </w:pPr>
            <w:r>
              <w:rPr>
                <w:rFonts w:ascii="仿宋" w:hAnsi="仿宋" w:eastAsia="仿宋" w:cs="Segoe UI"/>
                <w:b/>
                <w:bCs/>
                <w:color w:val="0F1115"/>
                <w:sz w:val="21"/>
                <w:szCs w:val="21"/>
              </w:rPr>
              <w:t>10</w:t>
            </w:r>
          </w:p>
        </w:tc>
        <w:tc>
          <w:tcPr>
            <w:tcW w:w="0" w:type="auto"/>
            <w:shd w:val="clear" w:color="auto" w:fill="FFFFFF"/>
            <w:tcMar>
              <w:top w:w="150" w:type="dxa"/>
              <w:left w:w="240" w:type="dxa"/>
              <w:bottom w:w="150" w:type="dxa"/>
              <w:right w:w="0" w:type="dxa"/>
            </w:tcMar>
            <w:vAlign w:val="center"/>
          </w:tcPr>
          <w:p w14:paraId="3DF87929">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客观</w:t>
            </w:r>
          </w:p>
        </w:tc>
      </w:tr>
      <w:tr w14:paraId="204ABC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29" w:type="dxa"/>
            <w:vMerge w:val="restart"/>
            <w:shd w:val="clear" w:color="auto" w:fill="FFFFFF"/>
            <w:tcMar>
              <w:top w:w="150" w:type="dxa"/>
              <w:left w:w="0" w:type="dxa"/>
              <w:bottom w:w="150" w:type="dxa"/>
              <w:right w:w="240" w:type="dxa"/>
            </w:tcMar>
            <w:vAlign w:val="center"/>
          </w:tcPr>
          <w:p w14:paraId="702C0ADA">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商务部分(</w:t>
            </w:r>
            <w:r>
              <w:rPr>
                <w:rFonts w:ascii="仿宋" w:hAnsi="仿宋" w:eastAsia="仿宋" w:cs="Segoe UI"/>
                <w:b/>
                <w:bCs/>
                <w:color w:val="0F1115"/>
                <w:sz w:val="21"/>
                <w:szCs w:val="21"/>
              </w:rPr>
              <w:t>40分</w:t>
            </w:r>
            <w:r>
              <w:rPr>
                <w:rFonts w:ascii="仿宋" w:hAnsi="仿宋" w:eastAsia="仿宋" w:cs="Segoe UI"/>
                <w:bCs/>
                <w:color w:val="0F1115"/>
                <w:sz w:val="21"/>
                <w:szCs w:val="21"/>
              </w:rPr>
              <w:t>)</w:t>
            </w:r>
          </w:p>
        </w:tc>
        <w:tc>
          <w:tcPr>
            <w:tcW w:w="956" w:type="dxa"/>
            <w:shd w:val="clear" w:color="auto" w:fill="FFFFFF"/>
            <w:tcMar>
              <w:top w:w="150" w:type="dxa"/>
              <w:left w:w="240" w:type="dxa"/>
              <w:bottom w:w="150" w:type="dxa"/>
              <w:right w:w="240" w:type="dxa"/>
            </w:tcMar>
            <w:vAlign w:val="center"/>
          </w:tcPr>
          <w:p w14:paraId="69B64D32">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类似项目业绩</w:t>
            </w:r>
          </w:p>
        </w:tc>
        <w:tc>
          <w:tcPr>
            <w:tcW w:w="0" w:type="auto"/>
            <w:shd w:val="clear" w:color="auto" w:fill="FFFFFF"/>
            <w:tcMar>
              <w:top w:w="150" w:type="dxa"/>
              <w:left w:w="240" w:type="dxa"/>
              <w:bottom w:w="150" w:type="dxa"/>
              <w:right w:w="240" w:type="dxa"/>
            </w:tcMar>
            <w:vAlign w:val="center"/>
          </w:tcPr>
          <w:p w14:paraId="5F9B4294">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在满足资格要求（2项）的基础上，每增加1项近三年（2023年1月1日至今）签订的、为医疗机构提供的生活垃圾清运服务有效合同，加</w:t>
            </w:r>
            <w:r>
              <w:rPr>
                <w:rFonts w:ascii="仿宋" w:hAnsi="仿宋" w:eastAsia="仿宋" w:cs="Segoe UI"/>
                <w:b/>
                <w:bCs/>
                <w:color w:val="0F1115"/>
                <w:sz w:val="21"/>
                <w:szCs w:val="21"/>
              </w:rPr>
              <w:t>3</w:t>
            </w:r>
            <w:r>
              <w:rPr>
                <w:rFonts w:ascii="仿宋" w:hAnsi="仿宋" w:eastAsia="仿宋" w:cs="Segoe UI"/>
                <w:bCs/>
                <w:color w:val="0F1115"/>
                <w:sz w:val="21"/>
                <w:szCs w:val="21"/>
              </w:rPr>
              <w:t>分；为其他大型公共机构或商业楼宇提供的同类服务合同，加</w:t>
            </w:r>
            <w:r>
              <w:rPr>
                <w:rFonts w:ascii="仿宋" w:hAnsi="仿宋" w:eastAsia="仿宋" w:cs="Segoe UI"/>
                <w:b/>
                <w:bCs/>
                <w:color w:val="0F1115"/>
                <w:sz w:val="21"/>
                <w:szCs w:val="21"/>
              </w:rPr>
              <w:t>2</w:t>
            </w:r>
            <w:r>
              <w:rPr>
                <w:rFonts w:ascii="仿宋" w:hAnsi="仿宋" w:eastAsia="仿宋" w:cs="Segoe UI"/>
                <w:bCs/>
                <w:color w:val="0F1115"/>
                <w:sz w:val="21"/>
                <w:szCs w:val="21"/>
              </w:rPr>
              <w:t>分。</w:t>
            </w:r>
            <w:r>
              <w:rPr>
                <w:rFonts w:ascii="仿宋" w:hAnsi="仿宋" w:eastAsia="仿宋" w:cs="Segoe UI"/>
                <w:bCs/>
                <w:color w:val="0F1115"/>
                <w:sz w:val="21"/>
                <w:szCs w:val="21"/>
              </w:rPr>
              <w:br w:type="textWrapping"/>
            </w:r>
            <w:r>
              <w:rPr>
                <w:rFonts w:ascii="仿宋" w:hAnsi="仿宋" w:eastAsia="仿宋" w:cs="Segoe UI"/>
                <w:bCs/>
                <w:color w:val="0F1115"/>
                <w:sz w:val="21"/>
                <w:szCs w:val="21"/>
              </w:rPr>
              <w:t>本项最高</w:t>
            </w:r>
            <w:r>
              <w:rPr>
                <w:rFonts w:ascii="仿宋" w:hAnsi="仿宋" w:eastAsia="仿宋" w:cs="Segoe UI"/>
                <w:b/>
                <w:bCs/>
                <w:color w:val="0F1115"/>
                <w:sz w:val="21"/>
                <w:szCs w:val="21"/>
              </w:rPr>
              <w:t>20</w:t>
            </w:r>
            <w:r>
              <w:rPr>
                <w:rFonts w:ascii="仿宋" w:hAnsi="仿宋" w:eastAsia="仿宋" w:cs="Segoe UI"/>
                <w:bCs/>
                <w:color w:val="0F1115"/>
                <w:sz w:val="21"/>
                <w:szCs w:val="21"/>
              </w:rPr>
              <w:t>分。（须提供合同关键页及验收/结算证明，同一项目不重复计分）</w:t>
            </w:r>
          </w:p>
        </w:tc>
        <w:tc>
          <w:tcPr>
            <w:tcW w:w="0" w:type="auto"/>
            <w:shd w:val="clear" w:color="auto" w:fill="FFFFFF"/>
            <w:tcMar>
              <w:top w:w="150" w:type="dxa"/>
              <w:left w:w="240" w:type="dxa"/>
              <w:bottom w:w="150" w:type="dxa"/>
              <w:right w:w="240" w:type="dxa"/>
            </w:tcMar>
            <w:vAlign w:val="center"/>
          </w:tcPr>
          <w:p w14:paraId="7C768288">
            <w:pPr>
              <w:widowControl/>
              <w:autoSpaceDE/>
              <w:autoSpaceDN/>
              <w:spacing w:line="240" w:lineRule="auto"/>
              <w:rPr>
                <w:rFonts w:ascii="仿宋" w:hAnsi="仿宋" w:eastAsia="仿宋" w:cs="Segoe UI"/>
                <w:color w:val="0F1115"/>
                <w:sz w:val="21"/>
                <w:szCs w:val="21"/>
              </w:rPr>
            </w:pPr>
            <w:r>
              <w:rPr>
                <w:rFonts w:ascii="仿宋" w:hAnsi="仿宋" w:eastAsia="仿宋" w:cs="Segoe UI"/>
                <w:b/>
                <w:bCs/>
                <w:color w:val="0F1115"/>
                <w:sz w:val="21"/>
                <w:szCs w:val="21"/>
              </w:rPr>
              <w:t>20</w:t>
            </w:r>
          </w:p>
        </w:tc>
        <w:tc>
          <w:tcPr>
            <w:tcW w:w="0" w:type="auto"/>
            <w:shd w:val="clear" w:color="auto" w:fill="FFFFFF"/>
            <w:tcMar>
              <w:top w:w="150" w:type="dxa"/>
              <w:left w:w="240" w:type="dxa"/>
              <w:bottom w:w="150" w:type="dxa"/>
              <w:right w:w="0" w:type="dxa"/>
            </w:tcMar>
            <w:vAlign w:val="center"/>
          </w:tcPr>
          <w:p w14:paraId="544D2C22">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客观</w:t>
            </w:r>
          </w:p>
        </w:tc>
      </w:tr>
      <w:tr w14:paraId="52DF78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29" w:type="dxa"/>
            <w:vMerge w:val="continue"/>
            <w:shd w:val="clear" w:color="auto" w:fill="FFFFFF"/>
            <w:tcMar>
              <w:top w:w="150" w:type="dxa"/>
              <w:left w:w="0" w:type="dxa"/>
              <w:bottom w:w="150" w:type="dxa"/>
              <w:right w:w="240" w:type="dxa"/>
            </w:tcMar>
            <w:vAlign w:val="center"/>
          </w:tcPr>
          <w:p w14:paraId="58A62C43">
            <w:pPr>
              <w:widowControl/>
              <w:autoSpaceDE/>
              <w:autoSpaceDN/>
              <w:spacing w:line="240" w:lineRule="auto"/>
              <w:rPr>
                <w:rFonts w:ascii="仿宋" w:hAnsi="仿宋" w:eastAsia="仿宋" w:cs="Segoe UI"/>
                <w:color w:val="0F1115"/>
                <w:sz w:val="21"/>
                <w:szCs w:val="21"/>
              </w:rPr>
            </w:pPr>
          </w:p>
        </w:tc>
        <w:tc>
          <w:tcPr>
            <w:tcW w:w="956" w:type="dxa"/>
            <w:shd w:val="clear" w:color="auto" w:fill="FFFFFF"/>
            <w:tcMar>
              <w:top w:w="150" w:type="dxa"/>
              <w:left w:w="240" w:type="dxa"/>
              <w:bottom w:w="150" w:type="dxa"/>
              <w:right w:w="240" w:type="dxa"/>
            </w:tcMar>
            <w:vAlign w:val="center"/>
          </w:tcPr>
          <w:p w14:paraId="0DAC4558">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项目团队配置</w:t>
            </w:r>
          </w:p>
        </w:tc>
        <w:tc>
          <w:tcPr>
            <w:tcW w:w="0" w:type="auto"/>
            <w:shd w:val="clear" w:color="auto" w:fill="FFFFFF"/>
            <w:tcMar>
              <w:top w:w="150" w:type="dxa"/>
              <w:left w:w="240" w:type="dxa"/>
              <w:bottom w:w="150" w:type="dxa"/>
              <w:right w:w="240" w:type="dxa"/>
            </w:tcMar>
            <w:vAlign w:val="center"/>
          </w:tcPr>
          <w:p w14:paraId="6368AA54">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根据拟投入本项目的管理及作业团队配置的合理性、专业性进行评分：</w:t>
            </w:r>
            <w:r>
              <w:rPr>
                <w:rFonts w:ascii="仿宋" w:hAnsi="仿宋" w:eastAsia="仿宋" w:cs="Segoe UI"/>
                <w:bCs/>
                <w:color w:val="0F1115"/>
                <w:sz w:val="21"/>
                <w:szCs w:val="21"/>
              </w:rPr>
              <w:br w:type="textWrapping"/>
            </w:r>
            <w:r>
              <w:rPr>
                <w:rFonts w:ascii="仿宋" w:hAnsi="仿宋" w:eastAsia="仿宋" w:cs="Segoe UI"/>
                <w:bCs/>
                <w:color w:val="0F1115"/>
                <w:sz w:val="21"/>
                <w:szCs w:val="21"/>
              </w:rPr>
              <w:t>优 (</w:t>
            </w:r>
            <w:r>
              <w:rPr>
                <w:rFonts w:ascii="仿宋" w:hAnsi="仿宋" w:eastAsia="仿宋" w:cs="Segoe UI"/>
                <w:b/>
                <w:bCs/>
                <w:color w:val="0F1115"/>
                <w:sz w:val="21"/>
                <w:szCs w:val="21"/>
              </w:rPr>
              <w:t>20</w:t>
            </w:r>
            <w:r>
              <w:rPr>
                <w:rFonts w:ascii="仿宋" w:hAnsi="仿宋" w:eastAsia="仿宋" w:cs="Segoe UI"/>
                <w:bCs/>
                <w:color w:val="0F1115"/>
                <w:sz w:val="21"/>
                <w:szCs w:val="21"/>
              </w:rPr>
              <w:t>分):</w:t>
            </w:r>
            <w:r>
              <w:rPr>
                <w:rFonts w:ascii="Calibri" w:hAnsi="Calibri" w:eastAsia="仿宋" w:cs="Calibri"/>
                <w:bCs/>
                <w:color w:val="0F1115"/>
                <w:sz w:val="21"/>
                <w:szCs w:val="21"/>
              </w:rPr>
              <w:t> </w:t>
            </w:r>
            <w:r>
              <w:rPr>
                <w:rFonts w:ascii="仿宋" w:hAnsi="仿宋" w:eastAsia="仿宋" w:cs="Segoe UI"/>
                <w:bCs/>
                <w:color w:val="0F1115"/>
                <w:sz w:val="21"/>
                <w:szCs w:val="21"/>
              </w:rPr>
              <w:t>团队架构清晰，配备专职项目经理及足够数量的清运、消毒作业人员。所有人员职责明确，并附有相关培训证明或从业资质，人员稳定性承诺高。</w:t>
            </w:r>
            <w:r>
              <w:rPr>
                <w:rFonts w:ascii="仿宋" w:hAnsi="仿宋" w:eastAsia="仿宋" w:cs="Segoe UI"/>
                <w:bCs/>
                <w:color w:val="0F1115"/>
                <w:sz w:val="21"/>
                <w:szCs w:val="21"/>
              </w:rPr>
              <w:br w:type="textWrapping"/>
            </w:r>
            <w:r>
              <w:rPr>
                <w:rFonts w:ascii="仿宋" w:hAnsi="仿宋" w:eastAsia="仿宋" w:cs="Segoe UI"/>
                <w:bCs/>
                <w:color w:val="0F1115"/>
                <w:sz w:val="21"/>
                <w:szCs w:val="21"/>
              </w:rPr>
              <w:t>良 (</w:t>
            </w:r>
            <w:r>
              <w:rPr>
                <w:rFonts w:ascii="仿宋" w:hAnsi="仿宋" w:eastAsia="仿宋" w:cs="Segoe UI"/>
                <w:b/>
                <w:bCs/>
                <w:color w:val="0F1115"/>
                <w:sz w:val="21"/>
                <w:szCs w:val="21"/>
              </w:rPr>
              <w:t>15</w:t>
            </w:r>
            <w:r>
              <w:rPr>
                <w:rFonts w:ascii="仿宋" w:hAnsi="仿宋" w:eastAsia="仿宋" w:cs="Segoe UI"/>
                <w:bCs/>
                <w:color w:val="0F1115"/>
                <w:sz w:val="21"/>
                <w:szCs w:val="21"/>
              </w:rPr>
              <w:t>分):</w:t>
            </w:r>
            <w:r>
              <w:rPr>
                <w:rFonts w:ascii="Calibri" w:hAnsi="Calibri" w:eastAsia="仿宋" w:cs="Calibri"/>
                <w:bCs/>
                <w:color w:val="0F1115"/>
                <w:sz w:val="21"/>
                <w:szCs w:val="21"/>
              </w:rPr>
              <w:t> </w:t>
            </w:r>
            <w:r>
              <w:rPr>
                <w:rFonts w:ascii="仿宋" w:hAnsi="仿宋" w:eastAsia="仿宋" w:cs="Segoe UI"/>
                <w:bCs/>
                <w:color w:val="0F1115"/>
                <w:sz w:val="21"/>
                <w:szCs w:val="21"/>
              </w:rPr>
              <w:t>团队配置基本合理，关键岗位人员明确，有一定经验，但证明材料或详细安排略有不足。</w:t>
            </w:r>
            <w:r>
              <w:rPr>
                <w:rFonts w:ascii="仿宋" w:hAnsi="仿宋" w:eastAsia="仿宋" w:cs="Segoe UI"/>
                <w:bCs/>
                <w:color w:val="0F1115"/>
                <w:sz w:val="21"/>
                <w:szCs w:val="21"/>
              </w:rPr>
              <w:br w:type="textWrapping"/>
            </w:r>
            <w:r>
              <w:rPr>
                <w:rFonts w:ascii="仿宋" w:hAnsi="仿宋" w:eastAsia="仿宋" w:cs="Segoe UI"/>
                <w:bCs/>
                <w:color w:val="0F1115"/>
                <w:sz w:val="21"/>
                <w:szCs w:val="21"/>
              </w:rPr>
              <w:t>中 (</w:t>
            </w:r>
            <w:r>
              <w:rPr>
                <w:rFonts w:ascii="仿宋" w:hAnsi="仿宋" w:eastAsia="仿宋" w:cs="Segoe UI"/>
                <w:b/>
                <w:bCs/>
                <w:color w:val="0F1115"/>
                <w:sz w:val="21"/>
                <w:szCs w:val="21"/>
              </w:rPr>
              <w:t>10</w:t>
            </w:r>
            <w:r>
              <w:rPr>
                <w:rFonts w:ascii="仿宋" w:hAnsi="仿宋" w:eastAsia="仿宋" w:cs="Segoe UI"/>
                <w:bCs/>
                <w:color w:val="0F1115"/>
                <w:sz w:val="21"/>
                <w:szCs w:val="21"/>
              </w:rPr>
              <w:t>分):</w:t>
            </w:r>
            <w:r>
              <w:rPr>
                <w:rFonts w:ascii="Calibri" w:hAnsi="Calibri" w:eastAsia="仿宋" w:cs="Calibri"/>
                <w:bCs/>
                <w:color w:val="0F1115"/>
                <w:sz w:val="21"/>
                <w:szCs w:val="21"/>
              </w:rPr>
              <w:t> </w:t>
            </w:r>
            <w:r>
              <w:rPr>
                <w:rFonts w:ascii="仿宋" w:hAnsi="仿宋" w:eastAsia="仿宋" w:cs="Segoe UI"/>
                <w:bCs/>
                <w:color w:val="0F1115"/>
                <w:sz w:val="21"/>
                <w:szCs w:val="21"/>
              </w:rPr>
              <w:t>团队介绍简单，人员资质和经验描述模糊，配置合理性一般。</w:t>
            </w:r>
            <w:r>
              <w:rPr>
                <w:rFonts w:ascii="仿宋" w:hAnsi="仿宋" w:eastAsia="仿宋" w:cs="Segoe UI"/>
                <w:bCs/>
                <w:color w:val="0F1115"/>
                <w:sz w:val="21"/>
                <w:szCs w:val="21"/>
              </w:rPr>
              <w:br w:type="textWrapping"/>
            </w:r>
            <w:r>
              <w:rPr>
                <w:rFonts w:ascii="仿宋" w:hAnsi="仿宋" w:eastAsia="仿宋" w:cs="Segoe UI"/>
                <w:bCs/>
                <w:color w:val="0F1115"/>
                <w:sz w:val="21"/>
                <w:szCs w:val="21"/>
              </w:rPr>
              <w:t>差 (</w:t>
            </w:r>
            <w:r>
              <w:rPr>
                <w:rFonts w:ascii="仿宋" w:hAnsi="仿宋" w:eastAsia="仿宋" w:cs="Segoe UI"/>
                <w:b/>
                <w:bCs/>
                <w:color w:val="0F1115"/>
                <w:sz w:val="21"/>
                <w:szCs w:val="21"/>
              </w:rPr>
              <w:t>3</w:t>
            </w:r>
            <w:r>
              <w:rPr>
                <w:rFonts w:ascii="仿宋" w:hAnsi="仿宋" w:eastAsia="仿宋" w:cs="Segoe UI"/>
                <w:bCs/>
                <w:color w:val="0F1115"/>
                <w:sz w:val="21"/>
                <w:szCs w:val="21"/>
              </w:rPr>
              <w:t>分):</w:t>
            </w:r>
            <w:r>
              <w:rPr>
                <w:rFonts w:ascii="Calibri" w:hAnsi="Calibri" w:eastAsia="仿宋" w:cs="Calibri"/>
                <w:bCs/>
                <w:color w:val="0F1115"/>
                <w:sz w:val="21"/>
                <w:szCs w:val="21"/>
              </w:rPr>
              <w:t> </w:t>
            </w:r>
            <w:r>
              <w:rPr>
                <w:rFonts w:ascii="仿宋" w:hAnsi="仿宋" w:eastAsia="仿宋" w:cs="Segoe UI"/>
                <w:bCs/>
                <w:color w:val="0F1115"/>
                <w:sz w:val="21"/>
                <w:szCs w:val="21"/>
              </w:rPr>
              <w:t>未提供明确的团队配置方案或配置明显不合理。</w:t>
            </w:r>
          </w:p>
        </w:tc>
        <w:tc>
          <w:tcPr>
            <w:tcW w:w="0" w:type="auto"/>
            <w:shd w:val="clear" w:color="auto" w:fill="FFFFFF"/>
            <w:tcMar>
              <w:top w:w="150" w:type="dxa"/>
              <w:left w:w="240" w:type="dxa"/>
              <w:bottom w:w="150" w:type="dxa"/>
              <w:right w:w="240" w:type="dxa"/>
            </w:tcMar>
            <w:vAlign w:val="center"/>
          </w:tcPr>
          <w:p w14:paraId="55F3EAE0">
            <w:pPr>
              <w:widowControl/>
              <w:autoSpaceDE/>
              <w:autoSpaceDN/>
              <w:spacing w:line="240" w:lineRule="auto"/>
              <w:rPr>
                <w:rFonts w:ascii="仿宋" w:hAnsi="仿宋" w:eastAsia="仿宋" w:cs="Segoe UI"/>
                <w:color w:val="0F1115"/>
                <w:sz w:val="21"/>
                <w:szCs w:val="21"/>
              </w:rPr>
            </w:pPr>
            <w:r>
              <w:rPr>
                <w:rFonts w:ascii="仿宋" w:hAnsi="仿宋" w:eastAsia="仿宋" w:cs="Segoe UI"/>
                <w:b/>
                <w:bCs/>
                <w:color w:val="0F1115"/>
                <w:sz w:val="21"/>
                <w:szCs w:val="21"/>
              </w:rPr>
              <w:t>20</w:t>
            </w:r>
          </w:p>
        </w:tc>
        <w:tc>
          <w:tcPr>
            <w:tcW w:w="0" w:type="auto"/>
            <w:shd w:val="clear" w:color="auto" w:fill="FFFFFF"/>
            <w:tcMar>
              <w:top w:w="150" w:type="dxa"/>
              <w:left w:w="240" w:type="dxa"/>
              <w:bottom w:w="150" w:type="dxa"/>
              <w:right w:w="0" w:type="dxa"/>
            </w:tcMar>
            <w:vAlign w:val="center"/>
          </w:tcPr>
          <w:p w14:paraId="40A97DBF">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主观</w:t>
            </w:r>
          </w:p>
        </w:tc>
      </w:tr>
      <w:tr w14:paraId="7BCB93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29" w:type="dxa"/>
            <w:vMerge w:val="restart"/>
            <w:shd w:val="clear" w:color="auto" w:fill="FFFFFF"/>
            <w:tcMar>
              <w:top w:w="150" w:type="dxa"/>
              <w:left w:w="0" w:type="dxa"/>
              <w:bottom w:w="150" w:type="dxa"/>
              <w:right w:w="240" w:type="dxa"/>
            </w:tcMar>
            <w:vAlign w:val="center"/>
          </w:tcPr>
          <w:p w14:paraId="1E34E5FE">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技术部分(</w:t>
            </w:r>
            <w:r>
              <w:rPr>
                <w:rFonts w:ascii="仿宋" w:hAnsi="仿宋" w:eastAsia="仿宋" w:cs="Segoe UI"/>
                <w:b/>
                <w:bCs/>
                <w:color w:val="0F1115"/>
                <w:sz w:val="21"/>
                <w:szCs w:val="21"/>
              </w:rPr>
              <w:t>50分</w:t>
            </w:r>
            <w:r>
              <w:rPr>
                <w:rFonts w:ascii="仿宋" w:hAnsi="仿宋" w:eastAsia="仿宋" w:cs="Segoe UI"/>
                <w:bCs/>
                <w:color w:val="0F1115"/>
                <w:sz w:val="21"/>
                <w:szCs w:val="21"/>
              </w:rPr>
              <w:t>)</w:t>
            </w:r>
          </w:p>
        </w:tc>
        <w:tc>
          <w:tcPr>
            <w:tcW w:w="956" w:type="dxa"/>
            <w:shd w:val="clear" w:color="auto" w:fill="FFFFFF"/>
            <w:tcMar>
              <w:top w:w="150" w:type="dxa"/>
              <w:left w:w="240" w:type="dxa"/>
              <w:bottom w:w="150" w:type="dxa"/>
              <w:right w:w="240" w:type="dxa"/>
            </w:tcMar>
            <w:vAlign w:val="center"/>
          </w:tcPr>
          <w:p w14:paraId="21CCC9C6">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服务实施方案</w:t>
            </w:r>
          </w:p>
        </w:tc>
        <w:tc>
          <w:tcPr>
            <w:tcW w:w="0" w:type="auto"/>
            <w:shd w:val="clear" w:color="auto" w:fill="FFFFFF"/>
            <w:tcMar>
              <w:top w:w="150" w:type="dxa"/>
              <w:left w:w="240" w:type="dxa"/>
              <w:bottom w:w="150" w:type="dxa"/>
              <w:right w:w="240" w:type="dxa"/>
            </w:tcMar>
            <w:vAlign w:val="center"/>
          </w:tcPr>
          <w:p w14:paraId="685C1F67">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对清运服务全流程（收集、装车、运输、卸料、返回）的方案科学性、时效保障、以及与院方工作时间的衔接配合度进行评分：</w:t>
            </w:r>
            <w:r>
              <w:rPr>
                <w:rFonts w:ascii="仿宋" w:hAnsi="仿宋" w:eastAsia="仿宋" w:cs="Segoe UI"/>
                <w:bCs/>
                <w:color w:val="0F1115"/>
                <w:sz w:val="21"/>
                <w:szCs w:val="21"/>
              </w:rPr>
              <w:br w:type="textWrapping"/>
            </w:r>
            <w:r>
              <w:rPr>
                <w:rFonts w:ascii="仿宋" w:hAnsi="仿宋" w:eastAsia="仿宋" w:cs="Segoe UI"/>
                <w:bCs/>
                <w:color w:val="0F1115"/>
                <w:sz w:val="21"/>
                <w:szCs w:val="21"/>
              </w:rPr>
              <w:t>优 (</w:t>
            </w:r>
            <w:r>
              <w:rPr>
                <w:rFonts w:ascii="仿宋" w:hAnsi="仿宋" w:eastAsia="仿宋" w:cs="Segoe UI"/>
                <w:b/>
                <w:bCs/>
                <w:color w:val="0F1115"/>
                <w:sz w:val="21"/>
                <w:szCs w:val="21"/>
              </w:rPr>
              <w:t>20</w:t>
            </w:r>
            <w:r>
              <w:rPr>
                <w:rFonts w:ascii="仿宋" w:hAnsi="仿宋" w:eastAsia="仿宋" w:cs="Segoe UI"/>
                <w:bCs/>
                <w:color w:val="0F1115"/>
                <w:sz w:val="21"/>
                <w:szCs w:val="21"/>
              </w:rPr>
              <w:t>分):</w:t>
            </w:r>
            <w:r>
              <w:rPr>
                <w:rFonts w:ascii="Calibri" w:hAnsi="Calibri" w:eastAsia="仿宋" w:cs="Calibri"/>
                <w:bCs/>
                <w:color w:val="0F1115"/>
                <w:sz w:val="21"/>
                <w:szCs w:val="21"/>
              </w:rPr>
              <w:t> </w:t>
            </w:r>
            <w:r>
              <w:rPr>
                <w:rFonts w:ascii="仿宋" w:hAnsi="仿宋" w:eastAsia="仿宋" w:cs="Segoe UI"/>
                <w:bCs/>
                <w:color w:val="0F1115"/>
                <w:sz w:val="21"/>
                <w:szCs w:val="21"/>
              </w:rPr>
              <w:t>方案详尽、流程设计科学高效，时间节点明确，能充分考虑医院环境特殊性，确保日产日清且不干扰医院正常秩序。</w:t>
            </w:r>
            <w:r>
              <w:rPr>
                <w:rFonts w:ascii="仿宋" w:hAnsi="仿宋" w:eastAsia="仿宋" w:cs="Segoe UI"/>
                <w:bCs/>
                <w:color w:val="0F1115"/>
                <w:sz w:val="21"/>
                <w:szCs w:val="21"/>
              </w:rPr>
              <w:br w:type="textWrapping"/>
            </w:r>
            <w:r>
              <w:rPr>
                <w:rFonts w:ascii="仿宋" w:hAnsi="仿宋" w:eastAsia="仿宋" w:cs="Segoe UI"/>
                <w:bCs/>
                <w:color w:val="0F1115"/>
                <w:sz w:val="21"/>
                <w:szCs w:val="21"/>
              </w:rPr>
              <w:t>良 (</w:t>
            </w:r>
            <w:r>
              <w:rPr>
                <w:rFonts w:ascii="仿宋" w:hAnsi="仿宋" w:eastAsia="仿宋" w:cs="Segoe UI"/>
                <w:b/>
                <w:bCs/>
                <w:color w:val="0F1115"/>
                <w:sz w:val="21"/>
                <w:szCs w:val="21"/>
              </w:rPr>
              <w:t>15</w:t>
            </w:r>
            <w:r>
              <w:rPr>
                <w:rFonts w:ascii="仿宋" w:hAnsi="仿宋" w:eastAsia="仿宋" w:cs="Segoe UI"/>
                <w:bCs/>
                <w:color w:val="0F1115"/>
                <w:sz w:val="21"/>
                <w:szCs w:val="21"/>
              </w:rPr>
              <w:t>分):</w:t>
            </w:r>
            <w:r>
              <w:rPr>
                <w:rFonts w:ascii="Calibri" w:hAnsi="Calibri" w:eastAsia="仿宋" w:cs="Calibri"/>
                <w:bCs/>
                <w:color w:val="0F1115"/>
                <w:sz w:val="21"/>
                <w:szCs w:val="21"/>
              </w:rPr>
              <w:t> </w:t>
            </w:r>
            <w:r>
              <w:rPr>
                <w:rFonts w:ascii="仿宋" w:hAnsi="仿宋" w:eastAsia="仿宋" w:cs="Segoe UI"/>
                <w:bCs/>
                <w:color w:val="0F1115"/>
                <w:sz w:val="21"/>
                <w:szCs w:val="21"/>
              </w:rPr>
              <w:t>方案完整，流程基本合理，对主要环节有描述，具备可行性。</w:t>
            </w:r>
            <w:r>
              <w:rPr>
                <w:rFonts w:ascii="仿宋" w:hAnsi="仿宋" w:eastAsia="仿宋" w:cs="Segoe UI"/>
                <w:bCs/>
                <w:color w:val="0F1115"/>
                <w:sz w:val="21"/>
                <w:szCs w:val="21"/>
              </w:rPr>
              <w:br w:type="textWrapping"/>
            </w:r>
            <w:r>
              <w:rPr>
                <w:rFonts w:ascii="仿宋" w:hAnsi="仿宋" w:eastAsia="仿宋" w:cs="Segoe UI"/>
                <w:bCs/>
                <w:color w:val="0F1115"/>
                <w:sz w:val="21"/>
                <w:szCs w:val="21"/>
              </w:rPr>
              <w:t>中 (</w:t>
            </w:r>
            <w:r>
              <w:rPr>
                <w:rFonts w:ascii="仿宋" w:hAnsi="仿宋" w:eastAsia="仿宋" w:cs="Segoe UI"/>
                <w:b/>
                <w:bCs/>
                <w:color w:val="0F1115"/>
                <w:sz w:val="21"/>
                <w:szCs w:val="21"/>
              </w:rPr>
              <w:t>10</w:t>
            </w:r>
            <w:r>
              <w:rPr>
                <w:rFonts w:ascii="仿宋" w:hAnsi="仿宋" w:eastAsia="仿宋" w:cs="Segoe UI"/>
                <w:bCs/>
                <w:color w:val="0F1115"/>
                <w:sz w:val="21"/>
                <w:szCs w:val="21"/>
              </w:rPr>
              <w:t>分):</w:t>
            </w:r>
            <w:r>
              <w:rPr>
                <w:rFonts w:ascii="Calibri" w:hAnsi="Calibri" w:eastAsia="仿宋" w:cs="Calibri"/>
                <w:bCs/>
                <w:color w:val="0F1115"/>
                <w:sz w:val="21"/>
                <w:szCs w:val="21"/>
              </w:rPr>
              <w:t> </w:t>
            </w:r>
            <w:r>
              <w:rPr>
                <w:rFonts w:ascii="仿宋" w:hAnsi="仿宋" w:eastAsia="仿宋" w:cs="Segoe UI"/>
                <w:bCs/>
                <w:color w:val="0F1115"/>
                <w:sz w:val="21"/>
                <w:szCs w:val="21"/>
              </w:rPr>
              <w:t>方案内容较笼统，流程或时间安排不够清晰。</w:t>
            </w:r>
            <w:r>
              <w:rPr>
                <w:rFonts w:ascii="仿宋" w:hAnsi="仿宋" w:eastAsia="仿宋" w:cs="Segoe UI"/>
                <w:bCs/>
                <w:color w:val="0F1115"/>
                <w:sz w:val="21"/>
                <w:szCs w:val="21"/>
              </w:rPr>
              <w:br w:type="textWrapping"/>
            </w:r>
            <w:r>
              <w:rPr>
                <w:rFonts w:ascii="仿宋" w:hAnsi="仿宋" w:eastAsia="仿宋" w:cs="Segoe UI"/>
                <w:bCs/>
                <w:color w:val="0F1115"/>
                <w:sz w:val="21"/>
                <w:szCs w:val="21"/>
              </w:rPr>
              <w:t>差 (</w:t>
            </w:r>
            <w:r>
              <w:rPr>
                <w:rFonts w:ascii="仿宋" w:hAnsi="仿宋" w:eastAsia="仿宋" w:cs="Segoe UI"/>
                <w:b/>
                <w:bCs/>
                <w:color w:val="0F1115"/>
                <w:sz w:val="21"/>
                <w:szCs w:val="21"/>
              </w:rPr>
              <w:t>3</w:t>
            </w:r>
            <w:r>
              <w:rPr>
                <w:rFonts w:ascii="仿宋" w:hAnsi="仿宋" w:eastAsia="仿宋" w:cs="Segoe UI"/>
                <w:bCs/>
                <w:color w:val="0F1115"/>
                <w:sz w:val="21"/>
                <w:szCs w:val="21"/>
              </w:rPr>
              <w:t>分):</w:t>
            </w:r>
            <w:r>
              <w:rPr>
                <w:rFonts w:ascii="Calibri" w:hAnsi="Calibri" w:eastAsia="仿宋" w:cs="Calibri"/>
                <w:bCs/>
                <w:color w:val="0F1115"/>
                <w:sz w:val="21"/>
                <w:szCs w:val="21"/>
              </w:rPr>
              <w:t> </w:t>
            </w:r>
            <w:r>
              <w:rPr>
                <w:rFonts w:ascii="仿宋" w:hAnsi="仿宋" w:eastAsia="仿宋" w:cs="Segoe UI"/>
                <w:bCs/>
                <w:color w:val="0F1115"/>
                <w:sz w:val="21"/>
                <w:szCs w:val="21"/>
              </w:rPr>
              <w:t>方案简单、空洞，缺乏可操作性。</w:t>
            </w:r>
          </w:p>
        </w:tc>
        <w:tc>
          <w:tcPr>
            <w:tcW w:w="0" w:type="auto"/>
            <w:shd w:val="clear" w:color="auto" w:fill="FFFFFF"/>
            <w:tcMar>
              <w:top w:w="150" w:type="dxa"/>
              <w:left w:w="240" w:type="dxa"/>
              <w:bottom w:w="150" w:type="dxa"/>
              <w:right w:w="240" w:type="dxa"/>
            </w:tcMar>
            <w:vAlign w:val="center"/>
          </w:tcPr>
          <w:p w14:paraId="58AB30E4">
            <w:pPr>
              <w:widowControl/>
              <w:autoSpaceDE/>
              <w:autoSpaceDN/>
              <w:spacing w:line="240" w:lineRule="auto"/>
              <w:rPr>
                <w:rFonts w:ascii="仿宋" w:hAnsi="仿宋" w:eastAsia="仿宋" w:cs="Segoe UI"/>
                <w:color w:val="0F1115"/>
                <w:sz w:val="21"/>
                <w:szCs w:val="21"/>
              </w:rPr>
            </w:pPr>
            <w:r>
              <w:rPr>
                <w:rFonts w:ascii="仿宋" w:hAnsi="仿宋" w:eastAsia="仿宋" w:cs="Segoe UI"/>
                <w:b/>
                <w:bCs/>
                <w:color w:val="0F1115"/>
                <w:sz w:val="21"/>
                <w:szCs w:val="21"/>
              </w:rPr>
              <w:t>20</w:t>
            </w:r>
          </w:p>
        </w:tc>
        <w:tc>
          <w:tcPr>
            <w:tcW w:w="0" w:type="auto"/>
            <w:shd w:val="clear" w:color="auto" w:fill="FFFFFF"/>
            <w:tcMar>
              <w:top w:w="150" w:type="dxa"/>
              <w:left w:w="240" w:type="dxa"/>
              <w:bottom w:w="150" w:type="dxa"/>
              <w:right w:w="0" w:type="dxa"/>
            </w:tcMar>
            <w:vAlign w:val="center"/>
          </w:tcPr>
          <w:p w14:paraId="43CF156E">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主观</w:t>
            </w:r>
          </w:p>
        </w:tc>
      </w:tr>
      <w:tr w14:paraId="650FA7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29" w:type="dxa"/>
            <w:vMerge w:val="continue"/>
            <w:shd w:val="clear" w:color="auto" w:fill="FFFFFF"/>
            <w:tcMar>
              <w:top w:w="150" w:type="dxa"/>
              <w:left w:w="0" w:type="dxa"/>
              <w:bottom w:w="150" w:type="dxa"/>
              <w:right w:w="240" w:type="dxa"/>
            </w:tcMar>
            <w:vAlign w:val="center"/>
          </w:tcPr>
          <w:p w14:paraId="10EA2A36">
            <w:pPr>
              <w:widowControl/>
              <w:autoSpaceDE/>
              <w:autoSpaceDN/>
              <w:spacing w:line="240" w:lineRule="auto"/>
              <w:rPr>
                <w:rFonts w:ascii="仿宋" w:hAnsi="仿宋" w:eastAsia="仿宋" w:cs="Segoe UI"/>
                <w:color w:val="0F1115"/>
                <w:sz w:val="21"/>
                <w:szCs w:val="21"/>
              </w:rPr>
            </w:pPr>
          </w:p>
        </w:tc>
        <w:tc>
          <w:tcPr>
            <w:tcW w:w="956" w:type="dxa"/>
            <w:shd w:val="clear" w:color="auto" w:fill="FFFFFF"/>
            <w:tcMar>
              <w:top w:w="150" w:type="dxa"/>
              <w:left w:w="240" w:type="dxa"/>
              <w:bottom w:w="150" w:type="dxa"/>
              <w:right w:w="240" w:type="dxa"/>
            </w:tcMar>
            <w:vAlign w:val="center"/>
          </w:tcPr>
          <w:p w14:paraId="2205DEB6">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质量、安全与防疫保障措施</w:t>
            </w:r>
          </w:p>
        </w:tc>
        <w:tc>
          <w:tcPr>
            <w:tcW w:w="0" w:type="auto"/>
            <w:shd w:val="clear" w:color="auto" w:fill="FFFFFF"/>
            <w:tcMar>
              <w:top w:w="150" w:type="dxa"/>
              <w:left w:w="240" w:type="dxa"/>
              <w:bottom w:w="150" w:type="dxa"/>
              <w:right w:w="240" w:type="dxa"/>
            </w:tcMar>
            <w:vAlign w:val="center"/>
          </w:tcPr>
          <w:p w14:paraId="1FA2589F">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对垃圾运输过程中的防遗撒、防渗漏、防异味措施，车辆及容器的日常清洗消毒制度，作业人员安全防护及健康管理等方案的完备性与严格性进行评分：</w:t>
            </w:r>
            <w:r>
              <w:rPr>
                <w:rFonts w:ascii="仿宋" w:hAnsi="仿宋" w:eastAsia="仿宋" w:cs="Segoe UI"/>
                <w:bCs/>
                <w:color w:val="0F1115"/>
                <w:sz w:val="21"/>
                <w:szCs w:val="21"/>
              </w:rPr>
              <w:br w:type="textWrapping"/>
            </w:r>
            <w:r>
              <w:rPr>
                <w:rFonts w:ascii="仿宋" w:hAnsi="仿宋" w:eastAsia="仿宋" w:cs="Segoe UI"/>
                <w:bCs/>
                <w:color w:val="0F1115"/>
                <w:sz w:val="21"/>
                <w:szCs w:val="21"/>
              </w:rPr>
              <w:t>优 (</w:t>
            </w:r>
            <w:r>
              <w:rPr>
                <w:rFonts w:ascii="仿宋" w:hAnsi="仿宋" w:eastAsia="仿宋" w:cs="Segoe UI"/>
                <w:b/>
                <w:bCs/>
                <w:color w:val="0F1115"/>
                <w:sz w:val="21"/>
                <w:szCs w:val="21"/>
              </w:rPr>
              <w:t>20</w:t>
            </w:r>
            <w:r>
              <w:rPr>
                <w:rFonts w:ascii="仿宋" w:hAnsi="仿宋" w:eastAsia="仿宋" w:cs="Segoe UI"/>
                <w:bCs/>
                <w:color w:val="0F1115"/>
                <w:sz w:val="21"/>
                <w:szCs w:val="21"/>
              </w:rPr>
              <w:t>分):</w:t>
            </w:r>
            <w:r>
              <w:rPr>
                <w:rFonts w:ascii="Calibri" w:hAnsi="Calibri" w:eastAsia="仿宋" w:cs="Calibri"/>
                <w:bCs/>
                <w:color w:val="0F1115"/>
                <w:sz w:val="21"/>
                <w:szCs w:val="21"/>
              </w:rPr>
              <w:t> </w:t>
            </w:r>
            <w:r>
              <w:rPr>
                <w:rFonts w:ascii="仿宋" w:hAnsi="仿宋" w:eastAsia="仿宋" w:cs="Segoe UI"/>
                <w:bCs/>
                <w:color w:val="0F1115"/>
                <w:sz w:val="21"/>
                <w:szCs w:val="21"/>
              </w:rPr>
              <w:t>措施全面、具体、严格，符合最新卫生防疫规范，有明确的检查记录和应急预案，体现高标准管理。</w:t>
            </w:r>
            <w:r>
              <w:rPr>
                <w:rFonts w:ascii="仿宋" w:hAnsi="仿宋" w:eastAsia="仿宋" w:cs="Segoe UI"/>
                <w:bCs/>
                <w:color w:val="0F1115"/>
                <w:sz w:val="21"/>
                <w:szCs w:val="21"/>
              </w:rPr>
              <w:br w:type="textWrapping"/>
            </w:r>
            <w:r>
              <w:rPr>
                <w:rFonts w:ascii="仿宋" w:hAnsi="仿宋" w:eastAsia="仿宋" w:cs="Segoe UI"/>
                <w:bCs/>
                <w:color w:val="0F1115"/>
                <w:sz w:val="21"/>
                <w:szCs w:val="21"/>
              </w:rPr>
              <w:t>良 (</w:t>
            </w:r>
            <w:r>
              <w:rPr>
                <w:rFonts w:ascii="仿宋" w:hAnsi="仿宋" w:eastAsia="仿宋" w:cs="Segoe UI"/>
                <w:b/>
                <w:bCs/>
                <w:color w:val="0F1115"/>
                <w:sz w:val="21"/>
                <w:szCs w:val="21"/>
              </w:rPr>
              <w:t>15</w:t>
            </w:r>
            <w:r>
              <w:rPr>
                <w:rFonts w:ascii="仿宋" w:hAnsi="仿宋" w:eastAsia="仿宋" w:cs="Segoe UI"/>
                <w:bCs/>
                <w:color w:val="0F1115"/>
                <w:sz w:val="21"/>
                <w:szCs w:val="21"/>
              </w:rPr>
              <w:t>分):</w:t>
            </w:r>
            <w:r>
              <w:rPr>
                <w:rFonts w:ascii="Calibri" w:hAnsi="Calibri" w:eastAsia="仿宋" w:cs="Calibri"/>
                <w:bCs/>
                <w:color w:val="0F1115"/>
                <w:sz w:val="21"/>
                <w:szCs w:val="21"/>
              </w:rPr>
              <w:t> </w:t>
            </w:r>
            <w:r>
              <w:rPr>
                <w:rFonts w:ascii="仿宋" w:hAnsi="仿宋" w:eastAsia="仿宋" w:cs="Segoe UI"/>
                <w:bCs/>
                <w:color w:val="0F1115"/>
                <w:sz w:val="21"/>
                <w:szCs w:val="21"/>
              </w:rPr>
              <w:t>措施较全面，关键环节均有考虑，但部分细节可进一步深化。</w:t>
            </w:r>
            <w:r>
              <w:rPr>
                <w:rFonts w:ascii="仿宋" w:hAnsi="仿宋" w:eastAsia="仿宋" w:cs="Segoe UI"/>
                <w:bCs/>
                <w:color w:val="0F1115"/>
                <w:sz w:val="21"/>
                <w:szCs w:val="21"/>
              </w:rPr>
              <w:br w:type="textWrapping"/>
            </w:r>
            <w:r>
              <w:rPr>
                <w:rFonts w:ascii="仿宋" w:hAnsi="仿宋" w:eastAsia="仿宋" w:cs="Segoe UI"/>
                <w:bCs/>
                <w:color w:val="0F1115"/>
                <w:sz w:val="21"/>
                <w:szCs w:val="21"/>
              </w:rPr>
              <w:t>中 (</w:t>
            </w:r>
            <w:r>
              <w:rPr>
                <w:rFonts w:ascii="仿宋" w:hAnsi="仿宋" w:eastAsia="仿宋" w:cs="Segoe UI"/>
                <w:b/>
                <w:bCs/>
                <w:color w:val="0F1115"/>
                <w:sz w:val="21"/>
                <w:szCs w:val="21"/>
              </w:rPr>
              <w:t>10</w:t>
            </w:r>
            <w:r>
              <w:rPr>
                <w:rFonts w:ascii="仿宋" w:hAnsi="仿宋" w:eastAsia="仿宋" w:cs="Segoe UI"/>
                <w:bCs/>
                <w:color w:val="0F1115"/>
                <w:sz w:val="21"/>
                <w:szCs w:val="21"/>
              </w:rPr>
              <w:t>分):</w:t>
            </w:r>
            <w:r>
              <w:rPr>
                <w:rFonts w:ascii="Calibri" w:hAnsi="Calibri" w:eastAsia="仿宋" w:cs="Calibri"/>
                <w:bCs/>
                <w:color w:val="0F1115"/>
                <w:sz w:val="21"/>
                <w:szCs w:val="21"/>
              </w:rPr>
              <w:t> </w:t>
            </w:r>
            <w:r>
              <w:rPr>
                <w:rFonts w:ascii="仿宋" w:hAnsi="仿宋" w:eastAsia="仿宋" w:cs="Segoe UI"/>
                <w:bCs/>
                <w:color w:val="0F1115"/>
                <w:sz w:val="21"/>
                <w:szCs w:val="21"/>
              </w:rPr>
              <w:t>提及基本措施，但不够系统和具体。</w:t>
            </w:r>
            <w:r>
              <w:rPr>
                <w:rFonts w:ascii="仿宋" w:hAnsi="仿宋" w:eastAsia="仿宋" w:cs="Segoe UI"/>
                <w:bCs/>
                <w:color w:val="0F1115"/>
                <w:sz w:val="21"/>
                <w:szCs w:val="21"/>
              </w:rPr>
              <w:br w:type="textWrapping"/>
            </w:r>
            <w:r>
              <w:rPr>
                <w:rFonts w:ascii="仿宋" w:hAnsi="仿宋" w:eastAsia="仿宋" w:cs="Segoe UI"/>
                <w:bCs/>
                <w:color w:val="0F1115"/>
                <w:sz w:val="21"/>
                <w:szCs w:val="21"/>
              </w:rPr>
              <w:t>差 (</w:t>
            </w:r>
            <w:r>
              <w:rPr>
                <w:rFonts w:ascii="仿宋" w:hAnsi="仿宋" w:eastAsia="仿宋" w:cs="Segoe UI"/>
                <w:b/>
                <w:bCs/>
                <w:color w:val="0F1115"/>
                <w:sz w:val="21"/>
                <w:szCs w:val="21"/>
              </w:rPr>
              <w:t>3</w:t>
            </w:r>
            <w:r>
              <w:rPr>
                <w:rFonts w:ascii="仿宋" w:hAnsi="仿宋" w:eastAsia="仿宋" w:cs="Segoe UI"/>
                <w:bCs/>
                <w:color w:val="0F1115"/>
                <w:sz w:val="21"/>
                <w:szCs w:val="21"/>
              </w:rPr>
              <w:t>分):</w:t>
            </w:r>
            <w:r>
              <w:rPr>
                <w:rFonts w:ascii="Calibri" w:hAnsi="Calibri" w:eastAsia="仿宋" w:cs="Calibri"/>
                <w:bCs/>
                <w:color w:val="0F1115"/>
                <w:sz w:val="21"/>
                <w:szCs w:val="21"/>
              </w:rPr>
              <w:t> </w:t>
            </w:r>
            <w:r>
              <w:rPr>
                <w:rFonts w:ascii="仿宋" w:hAnsi="仿宋" w:eastAsia="仿宋" w:cs="Segoe UI"/>
                <w:bCs/>
                <w:color w:val="0F1115"/>
                <w:sz w:val="21"/>
                <w:szCs w:val="21"/>
              </w:rPr>
              <w:t>措施含糊或不完整。</w:t>
            </w:r>
          </w:p>
        </w:tc>
        <w:tc>
          <w:tcPr>
            <w:tcW w:w="0" w:type="auto"/>
            <w:shd w:val="clear" w:color="auto" w:fill="FFFFFF"/>
            <w:tcMar>
              <w:top w:w="150" w:type="dxa"/>
              <w:left w:w="240" w:type="dxa"/>
              <w:bottom w:w="150" w:type="dxa"/>
              <w:right w:w="240" w:type="dxa"/>
            </w:tcMar>
            <w:vAlign w:val="center"/>
          </w:tcPr>
          <w:p w14:paraId="47DA249E">
            <w:pPr>
              <w:widowControl/>
              <w:autoSpaceDE/>
              <w:autoSpaceDN/>
              <w:spacing w:line="240" w:lineRule="auto"/>
              <w:rPr>
                <w:rFonts w:ascii="仿宋" w:hAnsi="仿宋" w:eastAsia="仿宋" w:cs="Segoe UI"/>
                <w:color w:val="0F1115"/>
                <w:sz w:val="21"/>
                <w:szCs w:val="21"/>
              </w:rPr>
            </w:pPr>
            <w:r>
              <w:rPr>
                <w:rFonts w:ascii="仿宋" w:hAnsi="仿宋" w:eastAsia="仿宋" w:cs="Segoe UI"/>
                <w:b/>
                <w:bCs/>
                <w:color w:val="0F1115"/>
                <w:sz w:val="21"/>
                <w:szCs w:val="21"/>
              </w:rPr>
              <w:t>20</w:t>
            </w:r>
          </w:p>
        </w:tc>
        <w:tc>
          <w:tcPr>
            <w:tcW w:w="0" w:type="auto"/>
            <w:shd w:val="clear" w:color="auto" w:fill="FFFFFF"/>
            <w:tcMar>
              <w:top w:w="150" w:type="dxa"/>
              <w:left w:w="240" w:type="dxa"/>
              <w:bottom w:w="150" w:type="dxa"/>
              <w:right w:w="0" w:type="dxa"/>
            </w:tcMar>
            <w:vAlign w:val="center"/>
          </w:tcPr>
          <w:p w14:paraId="6796BCE0">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主观</w:t>
            </w:r>
          </w:p>
        </w:tc>
      </w:tr>
      <w:tr w14:paraId="0561A0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29" w:type="dxa"/>
            <w:vMerge w:val="continue"/>
            <w:shd w:val="clear" w:color="auto" w:fill="FFFFFF"/>
            <w:tcMar>
              <w:top w:w="150" w:type="dxa"/>
              <w:left w:w="0" w:type="dxa"/>
              <w:bottom w:w="150" w:type="dxa"/>
              <w:right w:w="240" w:type="dxa"/>
            </w:tcMar>
            <w:vAlign w:val="center"/>
          </w:tcPr>
          <w:p w14:paraId="4EDEECCD">
            <w:pPr>
              <w:widowControl/>
              <w:autoSpaceDE/>
              <w:autoSpaceDN/>
              <w:spacing w:line="240" w:lineRule="auto"/>
              <w:rPr>
                <w:rFonts w:ascii="仿宋" w:hAnsi="仿宋" w:eastAsia="仿宋" w:cs="Segoe UI"/>
                <w:color w:val="0F1115"/>
                <w:sz w:val="21"/>
                <w:szCs w:val="21"/>
              </w:rPr>
            </w:pPr>
          </w:p>
        </w:tc>
        <w:tc>
          <w:tcPr>
            <w:tcW w:w="956" w:type="dxa"/>
            <w:shd w:val="clear" w:color="auto" w:fill="FFFFFF"/>
            <w:tcMar>
              <w:top w:w="150" w:type="dxa"/>
              <w:left w:w="240" w:type="dxa"/>
              <w:bottom w:w="150" w:type="dxa"/>
              <w:right w:w="240" w:type="dxa"/>
            </w:tcMar>
            <w:vAlign w:val="center"/>
          </w:tcPr>
          <w:p w14:paraId="34A0584B">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应急响应与沟通机制</w:t>
            </w:r>
          </w:p>
        </w:tc>
        <w:tc>
          <w:tcPr>
            <w:tcW w:w="0" w:type="auto"/>
            <w:shd w:val="clear" w:color="auto" w:fill="FFFFFF"/>
            <w:tcMar>
              <w:top w:w="150" w:type="dxa"/>
              <w:left w:w="240" w:type="dxa"/>
              <w:bottom w:w="150" w:type="dxa"/>
              <w:right w:w="240" w:type="dxa"/>
            </w:tcMar>
            <w:vAlign w:val="center"/>
          </w:tcPr>
          <w:p w14:paraId="178368AB">
            <w:pPr>
              <w:widowControl/>
              <w:autoSpaceDE/>
              <w:autoSpaceDN/>
              <w:spacing w:line="240" w:lineRule="auto"/>
              <w:rPr>
                <w:rFonts w:ascii="仿宋" w:hAnsi="仿宋" w:eastAsia="仿宋" w:cs="Segoe UI"/>
                <w:bCs/>
                <w:color w:val="0F1115"/>
                <w:sz w:val="21"/>
                <w:szCs w:val="21"/>
              </w:rPr>
            </w:pPr>
            <w:r>
              <w:rPr>
                <w:rFonts w:ascii="Calibri" w:hAnsi="Calibri" w:eastAsia="仿宋" w:cs="Calibri"/>
                <w:bCs/>
                <w:color w:val="0F1115"/>
                <w:sz w:val="21"/>
                <w:szCs w:val="21"/>
              </w:rPr>
              <w:t> </w:t>
            </w:r>
            <w:r>
              <w:rPr>
                <w:rFonts w:ascii="仿宋" w:hAnsi="仿宋" w:eastAsia="仿宋" w:cs="Segoe UI"/>
                <w:bCs/>
                <w:color w:val="0F1115"/>
                <w:sz w:val="21"/>
                <w:szCs w:val="21"/>
              </w:rPr>
              <w:t>对应对突发垃圾增量、车辆故障、极端天气、投诉建议等情况的应急响应预案，以及与院方对接沟通、日常汇报机制的完善程度进行评分：</w:t>
            </w:r>
            <w:r>
              <w:rPr>
                <w:rFonts w:ascii="仿宋" w:hAnsi="仿宋" w:eastAsia="仿宋" w:cs="Segoe UI"/>
                <w:bCs/>
                <w:color w:val="0F1115"/>
                <w:sz w:val="21"/>
                <w:szCs w:val="21"/>
              </w:rPr>
              <w:br w:type="textWrapping"/>
            </w:r>
            <w:r>
              <w:rPr>
                <w:rFonts w:ascii="仿宋" w:hAnsi="仿宋" w:eastAsia="仿宋" w:cs="Segoe UI"/>
                <w:bCs/>
                <w:color w:val="0F1115"/>
                <w:sz w:val="21"/>
                <w:szCs w:val="21"/>
              </w:rPr>
              <w:t>优 (</w:t>
            </w:r>
            <w:r>
              <w:rPr>
                <w:rFonts w:ascii="仿宋" w:hAnsi="仿宋" w:eastAsia="仿宋" w:cs="Segoe UI"/>
                <w:b/>
                <w:bCs/>
                <w:color w:val="0F1115"/>
                <w:sz w:val="21"/>
                <w:szCs w:val="21"/>
              </w:rPr>
              <w:t>10</w:t>
            </w:r>
            <w:r>
              <w:rPr>
                <w:rFonts w:ascii="仿宋" w:hAnsi="仿宋" w:eastAsia="仿宋" w:cs="Segoe UI"/>
                <w:bCs/>
                <w:color w:val="0F1115"/>
                <w:sz w:val="21"/>
                <w:szCs w:val="21"/>
              </w:rPr>
              <w:t>分):</w:t>
            </w:r>
            <w:r>
              <w:rPr>
                <w:rFonts w:ascii="Calibri" w:hAnsi="Calibri" w:eastAsia="仿宋" w:cs="Calibri"/>
                <w:bCs/>
                <w:color w:val="0F1115"/>
                <w:sz w:val="21"/>
                <w:szCs w:val="21"/>
              </w:rPr>
              <w:t> </w:t>
            </w:r>
            <w:r>
              <w:rPr>
                <w:rFonts w:ascii="仿宋" w:hAnsi="仿宋" w:eastAsia="仿宋" w:cs="Segoe UI"/>
                <w:bCs/>
                <w:color w:val="0F1115"/>
                <w:sz w:val="21"/>
                <w:szCs w:val="21"/>
              </w:rPr>
              <w:t>应急预案全面、响应流程清晰、联络渠道畅通，承诺响应时间短（如30分钟内），有定期的服务质量回顾机制。</w:t>
            </w:r>
            <w:r>
              <w:rPr>
                <w:rFonts w:ascii="仿宋" w:hAnsi="仿宋" w:eastAsia="仿宋" w:cs="Segoe UI"/>
                <w:bCs/>
                <w:color w:val="0F1115"/>
                <w:sz w:val="21"/>
                <w:szCs w:val="21"/>
              </w:rPr>
              <w:br w:type="textWrapping"/>
            </w:r>
            <w:r>
              <w:rPr>
                <w:rFonts w:ascii="仿宋" w:hAnsi="仿宋" w:eastAsia="仿宋" w:cs="Segoe UI"/>
                <w:bCs/>
                <w:color w:val="0F1115"/>
                <w:sz w:val="21"/>
                <w:szCs w:val="21"/>
              </w:rPr>
              <w:t>良 (</w:t>
            </w:r>
            <w:r>
              <w:rPr>
                <w:rFonts w:ascii="仿宋" w:hAnsi="仿宋" w:eastAsia="仿宋" w:cs="Segoe UI"/>
                <w:b/>
                <w:bCs/>
                <w:color w:val="0F1115"/>
                <w:sz w:val="21"/>
                <w:szCs w:val="21"/>
              </w:rPr>
              <w:t>7</w:t>
            </w:r>
            <w:r>
              <w:rPr>
                <w:rFonts w:ascii="仿宋" w:hAnsi="仿宋" w:eastAsia="仿宋" w:cs="Segoe UI"/>
                <w:bCs/>
                <w:color w:val="0F1115"/>
                <w:sz w:val="21"/>
                <w:szCs w:val="21"/>
              </w:rPr>
              <w:t>分):</w:t>
            </w:r>
            <w:r>
              <w:rPr>
                <w:rFonts w:ascii="Calibri" w:hAnsi="Calibri" w:eastAsia="仿宋" w:cs="Calibri"/>
                <w:bCs/>
                <w:color w:val="0F1115"/>
                <w:sz w:val="21"/>
                <w:szCs w:val="21"/>
              </w:rPr>
              <w:t> </w:t>
            </w:r>
            <w:r>
              <w:rPr>
                <w:rFonts w:ascii="仿宋" w:hAnsi="仿宋" w:eastAsia="仿宋" w:cs="Segoe UI"/>
                <w:bCs/>
                <w:color w:val="0F1115"/>
                <w:sz w:val="21"/>
                <w:szCs w:val="21"/>
              </w:rPr>
              <w:t>有应急预案和沟通机制，内容基本可行。</w:t>
            </w:r>
            <w:r>
              <w:rPr>
                <w:rFonts w:ascii="仿宋" w:hAnsi="仿宋" w:eastAsia="仿宋" w:cs="Segoe UI"/>
                <w:bCs/>
                <w:color w:val="0F1115"/>
                <w:sz w:val="21"/>
                <w:szCs w:val="21"/>
              </w:rPr>
              <w:br w:type="textWrapping"/>
            </w:r>
            <w:r>
              <w:rPr>
                <w:rFonts w:ascii="仿宋" w:hAnsi="仿宋" w:eastAsia="仿宋" w:cs="Segoe UI"/>
                <w:bCs/>
                <w:color w:val="0F1115"/>
                <w:sz w:val="21"/>
                <w:szCs w:val="21"/>
              </w:rPr>
              <w:t>中 (</w:t>
            </w:r>
            <w:r>
              <w:rPr>
                <w:rFonts w:ascii="仿宋" w:hAnsi="仿宋" w:eastAsia="仿宋" w:cs="Segoe UI"/>
                <w:b/>
                <w:bCs/>
                <w:color w:val="0F1115"/>
                <w:sz w:val="21"/>
                <w:szCs w:val="21"/>
              </w:rPr>
              <w:t>4</w:t>
            </w:r>
            <w:r>
              <w:rPr>
                <w:rFonts w:ascii="仿宋" w:hAnsi="仿宋" w:eastAsia="仿宋" w:cs="Segoe UI"/>
                <w:bCs/>
                <w:color w:val="0F1115"/>
                <w:sz w:val="21"/>
                <w:szCs w:val="21"/>
              </w:rPr>
              <w:t>分):</w:t>
            </w:r>
            <w:r>
              <w:rPr>
                <w:rFonts w:ascii="Calibri" w:hAnsi="Calibri" w:eastAsia="仿宋" w:cs="Calibri"/>
                <w:bCs/>
                <w:color w:val="0F1115"/>
                <w:sz w:val="21"/>
                <w:szCs w:val="21"/>
              </w:rPr>
              <w:t> </w:t>
            </w:r>
            <w:r>
              <w:rPr>
                <w:rFonts w:ascii="仿宋" w:hAnsi="仿宋" w:eastAsia="仿宋" w:cs="Segoe UI"/>
                <w:bCs/>
                <w:color w:val="0F1115"/>
                <w:sz w:val="21"/>
                <w:szCs w:val="21"/>
              </w:rPr>
              <w:t>简单提及应急和沟通，但缺乏具体流程和承诺。</w:t>
            </w:r>
            <w:r>
              <w:rPr>
                <w:rFonts w:ascii="仿宋" w:hAnsi="仿宋" w:eastAsia="仿宋" w:cs="Segoe UI"/>
                <w:bCs/>
                <w:color w:val="0F1115"/>
                <w:sz w:val="21"/>
                <w:szCs w:val="21"/>
              </w:rPr>
              <w:br w:type="textWrapping"/>
            </w:r>
            <w:r>
              <w:rPr>
                <w:rFonts w:ascii="仿宋" w:hAnsi="仿宋" w:eastAsia="仿宋" w:cs="Segoe UI"/>
                <w:bCs/>
                <w:color w:val="0F1115"/>
                <w:sz w:val="21"/>
                <w:szCs w:val="21"/>
              </w:rPr>
              <w:t>差 (</w:t>
            </w:r>
            <w:r>
              <w:rPr>
                <w:rFonts w:ascii="仿宋" w:hAnsi="仿宋" w:eastAsia="仿宋" w:cs="Segoe UI"/>
                <w:b/>
                <w:bCs/>
                <w:color w:val="0F1115"/>
                <w:sz w:val="21"/>
                <w:szCs w:val="21"/>
              </w:rPr>
              <w:t>2</w:t>
            </w:r>
            <w:r>
              <w:rPr>
                <w:rFonts w:ascii="仿宋" w:hAnsi="仿宋" w:eastAsia="仿宋" w:cs="Segoe UI"/>
                <w:bCs/>
                <w:color w:val="0F1115"/>
                <w:sz w:val="21"/>
                <w:szCs w:val="21"/>
              </w:rPr>
              <w:t>分):</w:t>
            </w:r>
            <w:r>
              <w:rPr>
                <w:rFonts w:ascii="Calibri" w:hAnsi="Calibri" w:eastAsia="仿宋" w:cs="Calibri"/>
                <w:bCs/>
                <w:color w:val="0F1115"/>
                <w:sz w:val="21"/>
                <w:szCs w:val="21"/>
              </w:rPr>
              <w:t> </w:t>
            </w:r>
            <w:r>
              <w:rPr>
                <w:rFonts w:ascii="仿宋" w:hAnsi="仿宋" w:eastAsia="仿宋" w:cs="Segoe UI"/>
                <w:bCs/>
                <w:color w:val="0F1115"/>
                <w:sz w:val="21"/>
                <w:szCs w:val="21"/>
              </w:rPr>
              <w:t>未提供相关内容。</w:t>
            </w:r>
          </w:p>
        </w:tc>
        <w:tc>
          <w:tcPr>
            <w:tcW w:w="0" w:type="auto"/>
            <w:shd w:val="clear" w:color="auto" w:fill="FFFFFF"/>
            <w:tcMar>
              <w:top w:w="150" w:type="dxa"/>
              <w:left w:w="240" w:type="dxa"/>
              <w:bottom w:w="150" w:type="dxa"/>
              <w:right w:w="240" w:type="dxa"/>
            </w:tcMar>
            <w:vAlign w:val="center"/>
          </w:tcPr>
          <w:p w14:paraId="2EBC3C3A">
            <w:pPr>
              <w:widowControl/>
              <w:autoSpaceDE/>
              <w:autoSpaceDN/>
              <w:spacing w:line="240" w:lineRule="auto"/>
              <w:rPr>
                <w:rFonts w:ascii="仿宋" w:hAnsi="仿宋" w:eastAsia="仿宋" w:cs="Segoe UI"/>
                <w:color w:val="0F1115"/>
                <w:sz w:val="21"/>
                <w:szCs w:val="21"/>
              </w:rPr>
            </w:pPr>
            <w:r>
              <w:rPr>
                <w:rFonts w:ascii="仿宋" w:hAnsi="仿宋" w:eastAsia="仿宋" w:cs="Segoe UI"/>
                <w:b/>
                <w:bCs/>
                <w:color w:val="0F1115"/>
                <w:sz w:val="21"/>
                <w:szCs w:val="21"/>
              </w:rPr>
              <w:t>10</w:t>
            </w:r>
          </w:p>
        </w:tc>
        <w:tc>
          <w:tcPr>
            <w:tcW w:w="0" w:type="auto"/>
            <w:shd w:val="clear" w:color="auto" w:fill="FFFFFF"/>
            <w:tcMar>
              <w:top w:w="150" w:type="dxa"/>
              <w:left w:w="240" w:type="dxa"/>
              <w:bottom w:w="150" w:type="dxa"/>
              <w:right w:w="0" w:type="dxa"/>
            </w:tcMar>
            <w:vAlign w:val="center"/>
          </w:tcPr>
          <w:p w14:paraId="1E293D83">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主观</w:t>
            </w:r>
          </w:p>
        </w:tc>
      </w:tr>
      <w:tr w14:paraId="640737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29" w:type="dxa"/>
            <w:shd w:val="clear" w:color="auto" w:fill="FFFFFF"/>
            <w:tcMar>
              <w:top w:w="150" w:type="dxa"/>
              <w:left w:w="0" w:type="dxa"/>
              <w:bottom w:w="150" w:type="dxa"/>
              <w:right w:w="240" w:type="dxa"/>
            </w:tcMar>
            <w:vAlign w:val="center"/>
          </w:tcPr>
          <w:p w14:paraId="0ED71EF9">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总 分</w:t>
            </w:r>
          </w:p>
        </w:tc>
        <w:tc>
          <w:tcPr>
            <w:tcW w:w="956" w:type="dxa"/>
            <w:shd w:val="clear" w:color="auto" w:fill="FFFFFF"/>
            <w:tcMar>
              <w:top w:w="150" w:type="dxa"/>
              <w:left w:w="240" w:type="dxa"/>
              <w:bottom w:w="150" w:type="dxa"/>
              <w:right w:w="240" w:type="dxa"/>
            </w:tcMar>
            <w:vAlign w:val="center"/>
          </w:tcPr>
          <w:p w14:paraId="763BBEA1">
            <w:pPr>
              <w:widowControl/>
              <w:autoSpaceDE/>
              <w:autoSpaceDN/>
              <w:spacing w:line="240" w:lineRule="auto"/>
              <w:rPr>
                <w:rFonts w:ascii="仿宋" w:hAnsi="仿宋" w:eastAsia="仿宋" w:cs="Segoe UI"/>
                <w:color w:val="0F1115"/>
                <w:sz w:val="21"/>
                <w:szCs w:val="21"/>
              </w:rPr>
            </w:pPr>
          </w:p>
        </w:tc>
        <w:tc>
          <w:tcPr>
            <w:tcW w:w="0" w:type="auto"/>
            <w:shd w:val="clear" w:color="auto" w:fill="FFFFFF"/>
            <w:tcMar>
              <w:top w:w="150" w:type="dxa"/>
              <w:left w:w="240" w:type="dxa"/>
              <w:bottom w:w="150" w:type="dxa"/>
              <w:right w:w="240" w:type="dxa"/>
            </w:tcMar>
            <w:vAlign w:val="center"/>
          </w:tcPr>
          <w:p w14:paraId="10EFF88C">
            <w:pPr>
              <w:widowControl/>
              <w:autoSpaceDE/>
              <w:autoSpaceDN/>
              <w:spacing w:line="240" w:lineRule="auto"/>
              <w:rPr>
                <w:rFonts w:ascii="仿宋" w:hAnsi="仿宋" w:eastAsia="仿宋" w:cs="Times New Roman"/>
                <w:sz w:val="21"/>
                <w:szCs w:val="21"/>
              </w:rPr>
            </w:pPr>
          </w:p>
        </w:tc>
        <w:tc>
          <w:tcPr>
            <w:tcW w:w="0" w:type="auto"/>
            <w:shd w:val="clear" w:color="auto" w:fill="FFFFFF"/>
            <w:tcMar>
              <w:top w:w="150" w:type="dxa"/>
              <w:left w:w="240" w:type="dxa"/>
              <w:bottom w:w="150" w:type="dxa"/>
              <w:right w:w="240" w:type="dxa"/>
            </w:tcMar>
            <w:vAlign w:val="center"/>
          </w:tcPr>
          <w:p w14:paraId="1451A2E7">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100</w:t>
            </w:r>
          </w:p>
        </w:tc>
        <w:tc>
          <w:tcPr>
            <w:tcW w:w="0" w:type="auto"/>
            <w:shd w:val="clear" w:color="auto" w:fill="FFFFFF"/>
            <w:vAlign w:val="center"/>
          </w:tcPr>
          <w:p w14:paraId="149D5DEE">
            <w:pPr>
              <w:widowControl/>
              <w:autoSpaceDE/>
              <w:autoSpaceDN/>
              <w:spacing w:line="240" w:lineRule="auto"/>
              <w:rPr>
                <w:rFonts w:ascii="仿宋" w:hAnsi="仿宋" w:eastAsia="仿宋" w:cs="Times New Roman"/>
                <w:sz w:val="21"/>
                <w:szCs w:val="21"/>
              </w:rPr>
            </w:pPr>
          </w:p>
        </w:tc>
      </w:tr>
    </w:tbl>
    <w:p w14:paraId="1192EBE9">
      <w:pPr>
        <w:shd w:val="clear" w:color="auto" w:fill="FFFFFF"/>
        <w:autoSpaceDE/>
        <w:autoSpaceDN/>
        <w:spacing w:line="520" w:lineRule="exact"/>
        <w:contextualSpacing/>
        <w:rPr>
          <w:rFonts w:ascii="仿宋" w:hAnsi="仿宋" w:eastAsia="仿宋" w:cstheme="minorBidi"/>
          <w:b/>
          <w:kern w:val="2"/>
          <w:szCs w:val="24"/>
          <w:u w:val="single"/>
        </w:rPr>
      </w:pPr>
      <w:r>
        <w:rPr>
          <w:rFonts w:ascii="仿宋" w:hAnsi="仿宋" w:eastAsia="仿宋" w:cs="Segoe UI"/>
          <w:color w:val="0F1115"/>
          <w:kern w:val="2"/>
          <w:szCs w:val="24"/>
          <w:shd w:val="clear" w:color="auto" w:fill="FFFFFF"/>
        </w:rPr>
        <w:t>评审员</w:t>
      </w:r>
      <w:r>
        <w:rPr>
          <w:rFonts w:ascii="仿宋" w:hAnsi="仿宋" w:eastAsia="仿宋" w:cs="Segoe UI"/>
          <w:color w:val="0F1115"/>
          <w:kern w:val="2"/>
          <w:szCs w:val="24"/>
        </w:rPr>
        <w:t>（签字）</w:t>
      </w:r>
      <w:r>
        <w:rPr>
          <w:rFonts w:ascii="仿宋" w:hAnsi="仿宋" w:eastAsia="仿宋" w:cstheme="minorBidi"/>
          <w:kern w:val="2"/>
          <w:szCs w:val="24"/>
        </w:rPr>
        <w:t>：</w:t>
      </w:r>
      <w:r>
        <w:rPr>
          <w:rFonts w:ascii="仿宋" w:hAnsi="仿宋" w:eastAsia="仿宋" w:cstheme="minorBidi"/>
          <w:b/>
          <w:kern w:val="2"/>
          <w:szCs w:val="24"/>
          <w:u w:val="single"/>
        </w:rPr>
        <w:t xml:space="preserve">_____             _____             </w:t>
      </w:r>
    </w:p>
    <w:bookmarkEnd w:id="0"/>
    <w:bookmarkEnd w:id="1"/>
    <w:p w14:paraId="5FD4DA03">
      <w:pPr>
        <w:autoSpaceDE/>
        <w:autoSpaceDN/>
        <w:spacing w:line="240" w:lineRule="auto"/>
        <w:jc w:val="both"/>
        <w:rPr>
          <w:rFonts w:ascii="仿宋" w:hAnsi="仿宋" w:eastAsia="仿宋" w:cs="Segoe UI"/>
          <w:bCs/>
          <w:color w:val="0F1115"/>
          <w:kern w:val="2"/>
          <w:szCs w:val="24"/>
          <w:shd w:val="clear" w:color="auto" w:fill="FFFFFF"/>
        </w:rPr>
      </w:pPr>
      <w:r>
        <w:rPr>
          <w:rFonts w:ascii="仿宋" w:hAnsi="仿宋" w:eastAsia="仿宋" w:cs="Segoe UI"/>
          <w:bCs/>
          <w:color w:val="0F1115"/>
          <w:kern w:val="2"/>
          <w:szCs w:val="24"/>
          <w:shd w:val="clear" w:color="auto" w:fill="FFFFFF"/>
        </w:rPr>
        <w:t>评审日期：____年__月__日</w:t>
      </w:r>
    </w:p>
    <w:p w14:paraId="202709B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C7A21"/>
    <w:rsid w:val="180C7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pPr>
    <w:rPr>
      <w:rFonts w:ascii="宋体" w:hAnsi="宋体" w:eastAsia="宋体" w:cs="宋体"/>
      <w:kern w:val="0"/>
      <w:sz w:val="24"/>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2026-01-30T06:42:00Z</dcterms:created>
  <dc:creator>Lyn</dc:creator>
  <cp:lastModifiedBy>Lyn</cp:lastModifiedBy>
  <dcterms:modified xsi:type="dcterms:W3CDTF">2026-01-30T06:45:30Z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09C1243A1DE64121AF2AF7339B6DC5E0_11</vt:lpwstr>
  </property>
  <property fmtid="{D5CDD505-2E9C-101B-9397-08002B2CF9AE}" pid="4" name="KSOTemplateDocerSaveRecord">
    <vt:lpwstr>eyJoZGlkIjoiMzI1NTc2YjM3YjBhNGRlYTk3YmY1YzQ4ZGRhMmI5ZWUiLCJ1c2VySWQiOiI0MzA1OTk4ODEifQ==</vt:lpwstr>
  </property>
</Properties>
</file>